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太湖县十六届人民代表大会第二次会议</w:t>
      </w:r>
    </w:p>
    <w:p>
      <w:pPr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代表建议、批评、意见表</w:t>
      </w:r>
    </w:p>
    <w:tbl>
      <w:tblPr>
        <w:tblStyle w:val="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>
            <w:pPr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柯裕海</w:t>
            </w:r>
          </w:p>
        </w:tc>
        <w:tc>
          <w:tcPr>
            <w:tcW w:w="1423" w:type="dxa"/>
            <w:gridSpan w:val="2"/>
          </w:tcPr>
          <w:p>
            <w:pPr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>
            <w:pPr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>
            <w:pPr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弥陀镇人民政府</w:t>
            </w:r>
          </w:p>
        </w:tc>
        <w:tc>
          <w:tcPr>
            <w:tcW w:w="1423" w:type="dxa"/>
            <w:gridSpan w:val="2"/>
          </w:tcPr>
          <w:p>
            <w:pPr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>
            <w:pPr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  <w:r>
              <w:rPr>
                <w:rFonts w:ascii="楷体_GB2312" w:hAnsi="黑体" w:eastAsia="楷体_GB2312" w:cs="Times New Roman"/>
                <w:sz w:val="30"/>
                <w:szCs w:val="30"/>
              </w:rPr>
              <w:t>13955626698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>
            <w:pPr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>
            <w:pPr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余应生</w:t>
            </w: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弥陀村村委会</w:t>
            </w: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13956515988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柴洪文</w:t>
            </w: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安乐村</w:t>
            </w:r>
            <w:r>
              <w:rPr>
                <w:rFonts w:hint="eastAsia" w:ascii="楷体_GB2312" w:hAnsi="黑体" w:eastAsia="楷体_GB2312" w:cs="Times New Roman"/>
                <w:sz w:val="30"/>
                <w:szCs w:val="30"/>
                <w:lang w:val="en-US" w:eastAsia="zh-CN"/>
              </w:rPr>
              <w:t>总支</w:t>
            </w: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13965834218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hint="eastAsia"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both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  <w:vAlign w:val="top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top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Merge w:val="restart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  <w:r>
              <w:rPr>
                <w:rFonts w:hint="eastAsia" w:ascii="楷体_GB2312" w:hAnsi="黑体" w:eastAsia="楷体_GB2312" w:cs="Times New Roman"/>
                <w:sz w:val="30"/>
                <w:szCs w:val="30"/>
              </w:rPr>
              <w:t>承办单位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Merge w:val="continue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340" w:type="dxa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>
            <w:pPr>
              <w:spacing w:line="720" w:lineRule="exact"/>
              <w:jc w:val="center"/>
              <w:rPr>
                <w:rFonts w:ascii="楷体_GB2312" w:hAnsi="黑体" w:eastAsia="楷体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90" w:hRule="atLeast"/>
        </w:trPr>
        <w:tc>
          <w:tcPr>
            <w:tcW w:w="8720" w:type="dxa"/>
            <w:gridSpan w:val="6"/>
          </w:tcPr>
          <w:p>
            <w:pPr>
              <w:rPr>
                <w:rFonts w:ascii="仿宋_GB2312" w:hAnsi="黑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</w:rPr>
              <w:t>标 题：</w:t>
            </w: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关于</w:t>
            </w:r>
            <w:r>
              <w:rPr>
                <w:rFonts w:hint="eastAsia" w:ascii="仿宋" w:hAnsi="仿宋" w:cs="Times New Roman"/>
                <w:sz w:val="30"/>
                <w:szCs w:val="30"/>
              </w:rPr>
              <w:t>加强</w:t>
            </w:r>
            <w:r>
              <w:rPr>
                <w:rFonts w:hint="eastAsia" w:ascii="仿宋" w:hAnsi="仿宋" w:cs="Times New Roman"/>
                <w:sz w:val="30"/>
                <w:szCs w:val="30"/>
                <w:lang w:val="en-US" w:eastAsia="zh-CN"/>
              </w:rPr>
              <w:t>基础设施建设的</w:t>
            </w:r>
            <w:r>
              <w:rPr>
                <w:rFonts w:hint="eastAsia" w:ascii="仿宋" w:hAnsi="仿宋" w:cs="Times New Roman"/>
                <w:sz w:val="30"/>
                <w:szCs w:val="30"/>
              </w:rPr>
              <w:t>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428" w:hRule="atLeast"/>
        </w:trPr>
        <w:tc>
          <w:tcPr>
            <w:tcW w:w="8720" w:type="dxa"/>
            <w:gridSpan w:val="6"/>
          </w:tcPr>
          <w:p>
            <w:pPr>
              <w:rPr>
                <w:rFonts w:ascii="仿宋_GB2312" w:hAnsi="黑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</w:rPr>
              <w:t>事 由：近几年，我县花大力气实施了许多基础设施建设项目，成效明显，但是因为多种原因，我县仍有许多薄弱环节，尤其在山区仍有许多当家塘、渠道、河堰年久失修，不能灌溉，村组水泥路因实施标准、时间等原因需改造升级。</w:t>
            </w:r>
          </w:p>
          <w:p>
            <w:pPr>
              <w:rPr>
                <w:rFonts w:ascii="仿宋_GB2312" w:hAnsi="黑体" w:eastAsia="仿宋_GB2312" w:cs="Times New Roman"/>
                <w:sz w:val="30"/>
                <w:szCs w:val="30"/>
              </w:rPr>
            </w:pPr>
          </w:p>
          <w:p>
            <w:pPr>
              <w:rPr>
                <w:rFonts w:ascii="仿宋_GB2312" w:hAnsi="黑体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5857" w:hRule="atLeast"/>
        </w:trPr>
        <w:tc>
          <w:tcPr>
            <w:tcW w:w="8720" w:type="dxa"/>
            <w:gridSpan w:val="6"/>
          </w:tcPr>
          <w:p>
            <w:pPr>
              <w:rPr>
                <w:rFonts w:ascii="仿宋_GB2312" w:hAnsi="黑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</w:rPr>
              <w:t>建 议： 一、县政府和主管部门要制定政策，采取措施，分步实施小型水利工程改造完善工程，切忌出台“改造一口水塘补5</w:t>
            </w:r>
            <w:r>
              <w:rPr>
                <w:rFonts w:ascii="仿宋_GB2312" w:hAnsi="黑体" w:eastAsia="仿宋_GB2312" w:cs="Times New Roman"/>
                <w:sz w:val="30"/>
                <w:szCs w:val="30"/>
              </w:rPr>
              <w:t>000</w:t>
            </w:r>
            <w:r>
              <w:rPr>
                <w:rFonts w:hint="eastAsia" w:ascii="仿宋_GB2312" w:hAnsi="黑体" w:eastAsia="仿宋_GB2312" w:cs="Times New Roman"/>
                <w:sz w:val="30"/>
                <w:szCs w:val="30"/>
              </w:rPr>
              <w:t>元”不切实际的措施，真正达到改一处见效一处的效果。</w:t>
            </w:r>
          </w:p>
          <w:p>
            <w:pPr>
              <w:rPr>
                <w:rFonts w:hint="eastAsia" w:ascii="仿宋_GB2312" w:hAnsi="黑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</w:rPr>
              <w:t xml:space="preserve"> </w:t>
            </w:r>
            <w:r>
              <w:rPr>
                <w:rFonts w:ascii="仿宋_GB2312" w:hAnsi="黑体" w:eastAsia="仿宋_GB2312" w:cs="Times New Roman"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黑体" w:eastAsia="仿宋_GB2312" w:cs="Times New Roman"/>
                <w:sz w:val="30"/>
                <w:szCs w:val="30"/>
              </w:rPr>
              <w:t>二、借鉴水库移民后扶工程实施办法，不搞“一刀切”地改造升级交通工程，现实施的交通畅通工程存在资金不涉及路基、水泥等物价涨幅大，工程队不愿承建等问题，这些问题只有接地气地解决，才能真正实现交通畅通目标。</w:t>
            </w:r>
          </w:p>
          <w:p>
            <w:pPr>
              <w:rPr>
                <w:rFonts w:ascii="仿宋" w:hAnsi="仿宋" w:cs="Times New Roman"/>
                <w:sz w:val="30"/>
                <w:szCs w:val="30"/>
              </w:rPr>
            </w:pPr>
          </w:p>
          <w:p>
            <w:pPr>
              <w:rPr>
                <w:rFonts w:ascii="仿宋" w:hAnsi="仿宋" w:cs="Times New Roman"/>
                <w:sz w:val="30"/>
                <w:szCs w:val="30"/>
              </w:rPr>
            </w:pPr>
          </w:p>
          <w:p>
            <w:pPr>
              <w:rPr>
                <w:rFonts w:ascii="仿宋" w:hAnsi="仿宋" w:cs="Times New Roman"/>
                <w:sz w:val="30"/>
                <w:szCs w:val="30"/>
              </w:rPr>
            </w:pPr>
          </w:p>
        </w:tc>
      </w:tr>
    </w:tbl>
    <w:p>
      <w:pPr>
        <w:rPr>
          <w:rFonts w:ascii="仿宋_GB2312" w:hAnsi="黑体" w:eastAsia="仿宋_GB2312" w:cs="Times New Roman"/>
          <w:spacing w:val="-20"/>
          <w:position w:val="2"/>
          <w:sz w:val="30"/>
          <w:szCs w:val="30"/>
        </w:rPr>
      </w:pPr>
      <w:r>
        <w:rPr>
          <w:rFonts w:hint="eastAsia" w:ascii="仿宋_GB2312" w:hAnsi="黑体" w:eastAsia="仿宋_GB2312" w:cs="Times New Roman"/>
          <w:spacing w:val="-12"/>
          <w:sz w:val="30"/>
          <w:szCs w:val="30"/>
        </w:rPr>
        <w:t>注：</w:t>
      </w:r>
      <w:r>
        <w:rPr>
          <w:rFonts w:hint="eastAsia" w:ascii="仿宋_GB2312" w:hAnsi="黑体" w:eastAsia="仿宋_GB2312" w:cs="Times New Roman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182900"/>
    <w:rsid w:val="42BF46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骁冰</cp:lastModifiedBy>
  <dcterms:modified xsi:type="dcterms:W3CDTF">2017-12-18T03:30:34Z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