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E8D" w:rsidRDefault="00C925FA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FE4E8D" w:rsidRDefault="00C925FA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FE4E8D">
        <w:tc>
          <w:tcPr>
            <w:tcW w:w="1728" w:type="dxa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吴礼泼</w:t>
            </w:r>
            <w:proofErr w:type="gramEnd"/>
          </w:p>
        </w:tc>
        <w:tc>
          <w:tcPr>
            <w:tcW w:w="1423" w:type="dxa"/>
            <w:gridSpan w:val="2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</w:t>
            </w:r>
          </w:p>
        </w:tc>
      </w:tr>
      <w:tr w:rsidR="00FE4E8D">
        <w:tc>
          <w:tcPr>
            <w:tcW w:w="1728" w:type="dxa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北中镇明珠村</w:t>
            </w:r>
          </w:p>
        </w:tc>
        <w:tc>
          <w:tcPr>
            <w:tcW w:w="1423" w:type="dxa"/>
            <w:gridSpan w:val="2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FE4E8D" w:rsidRDefault="00C925FA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FE4E8D">
        <w:tc>
          <w:tcPr>
            <w:tcW w:w="1728" w:type="dxa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李义群</w:t>
            </w:r>
            <w:proofErr w:type="gramEnd"/>
          </w:p>
        </w:tc>
        <w:tc>
          <w:tcPr>
            <w:tcW w:w="4140" w:type="dxa"/>
            <w:gridSpan w:val="3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北中镇政府</w:t>
            </w: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FE4E8D">
        <w:tc>
          <w:tcPr>
            <w:tcW w:w="1728" w:type="dxa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舒家明</w:t>
            </w:r>
          </w:p>
        </w:tc>
        <w:tc>
          <w:tcPr>
            <w:tcW w:w="4140" w:type="dxa"/>
            <w:gridSpan w:val="3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陈晓雷</w:t>
            </w:r>
            <w:proofErr w:type="gramEnd"/>
          </w:p>
        </w:tc>
        <w:tc>
          <w:tcPr>
            <w:tcW w:w="4140" w:type="dxa"/>
            <w:gridSpan w:val="3"/>
          </w:tcPr>
          <w:p w:rsidR="00FE4E8D" w:rsidRDefault="00C925F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北中镇浮坵村</w:t>
            </w: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c>
          <w:tcPr>
            <w:tcW w:w="1728" w:type="dxa"/>
            <w:vMerge w:val="restart"/>
          </w:tcPr>
          <w:p w:rsidR="00FE4E8D" w:rsidRDefault="00C925FA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FE4E8D" w:rsidRDefault="00C925FA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FE4E8D" w:rsidRDefault="00C925FA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FE4E8D" w:rsidRDefault="00C925FA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FE4E8D">
        <w:tc>
          <w:tcPr>
            <w:tcW w:w="1728" w:type="dxa"/>
            <w:vMerge/>
          </w:tcPr>
          <w:p w:rsidR="00FE4E8D" w:rsidRDefault="00FE4E8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FE4E8D" w:rsidRDefault="00FE4E8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E4E8D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FE4E8D" w:rsidRDefault="00C925FA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关于收回吴俊水库水面经营权的建议</w:t>
            </w:r>
          </w:p>
        </w:tc>
      </w:tr>
      <w:tr w:rsidR="00FE4E8D">
        <w:trPr>
          <w:gridAfter w:val="1"/>
          <w:wAfter w:w="28" w:type="dxa"/>
          <w:trHeight w:val="1460"/>
        </w:trPr>
        <w:tc>
          <w:tcPr>
            <w:tcW w:w="8720" w:type="dxa"/>
            <w:gridSpan w:val="6"/>
          </w:tcPr>
          <w:p w:rsidR="00FE4E8D" w:rsidRDefault="00C925FA">
            <w:pPr>
              <w:spacing w:line="480" w:lineRule="exact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吴俊水库是太湖县第二大水库，坐落在北中吴俊村，建成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1997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年。该水库建设之初，基本定位于用于发电，解决太湖县城乡用电之缺，同时解决下游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多人的人畜饮水及千亩良田的灌溉问题，当时县政府明文规定，水库不得用于水产养殖。</w:t>
            </w:r>
          </w:p>
          <w:p w:rsidR="00FE4E8D" w:rsidRDefault="00C925FA">
            <w:pPr>
              <w:spacing w:line="480" w:lineRule="exac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水库的建设，征收了吴</w:t>
            </w: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俊桐山大量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的农田、山场，且当时征收补偿标准由县政府文件规定。土地征收严重缩减了</w:t>
            </w: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吴俊桐山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农民赖以生存的生产生活资源。为此，在当时基于堤外损失堤内补的协议下，原水电局及其下辖的县水电公司同建设区</w:t>
            </w: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相关村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多次协商，在明确受益分成比例的情况下，将水库租赁给养殖户进行有偿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补偿，合同期为三年。当时因为有村级参与监督管理，没有造成污染。然而三年后，水电公司在</w:t>
            </w: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吴俊桐山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等村不知情的情况下，单方面于养殖方续签了七年的合同，七年期满又续签了五年。由于商家利益的驱使，基层组织监督的脱节，由此带来了一系列的问题：养殖户为追求经济效益，在水库里大量投放饵料，甚至不顾当地村民的强烈反对，向水库投放鸡粪，致使水质恶化、臭气熏天，人畜根本无法饮用。村民多次向上级反映，镇政府、村委会及有关部门亦多次协调，均无果而终。</w:t>
            </w:r>
          </w:p>
        </w:tc>
      </w:tr>
      <w:tr w:rsidR="00FE4E8D">
        <w:trPr>
          <w:gridAfter w:val="1"/>
          <w:wAfter w:w="28" w:type="dxa"/>
          <w:trHeight w:val="90"/>
        </w:trPr>
        <w:tc>
          <w:tcPr>
            <w:tcW w:w="8720" w:type="dxa"/>
            <w:gridSpan w:val="6"/>
          </w:tcPr>
          <w:p w:rsidR="00FE4E8D" w:rsidRDefault="00C925FA">
            <w:pPr>
              <w:spacing w:line="440" w:lineRule="exac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一方水土养育一方人。吴俊水库及其河流纵贯</w:t>
            </w: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吴俊桐山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两村广大居民的母亲河。水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库建设本可以兼顾社会效益和经济效益，造福百姓，但现实却恰恰相反。为从根本上解决吴俊水库存在的问题，两村村民强烈要求收回水库的水面经营权，使水库的功能回归本位。收回水库水面经营权后，将秉持绿色发展理念，优先考虑水库周边及其下游居民的生产生活用水，保护好水库及其整个流域的环境，让山更绿、水更蓝。在此基础上，进行</w:t>
            </w:r>
            <w:proofErr w:type="gramStart"/>
            <w:r>
              <w:rPr>
                <w:rFonts w:ascii="仿宋_GB2312" w:eastAsia="仿宋_GB2312" w:hAnsi="黑体" w:hint="eastAsia"/>
                <w:sz w:val="28"/>
                <w:szCs w:val="28"/>
              </w:rPr>
              <w:t>科学科学</w:t>
            </w:r>
            <w:proofErr w:type="gramEnd"/>
            <w:r>
              <w:rPr>
                <w:rFonts w:ascii="仿宋_GB2312" w:eastAsia="仿宋_GB2312" w:hAnsi="黑体" w:hint="eastAsia"/>
                <w:sz w:val="28"/>
                <w:szCs w:val="28"/>
              </w:rPr>
              <w:t>论证，长远规划，做到社会效益和经济效益并重，让吴俊水库在此脱贫攻坚中发挥独特的作用。惟其如此，方能使吴俊水库不负当初建设的初衷，真正成为一方的民生工程。</w:t>
            </w:r>
          </w:p>
        </w:tc>
      </w:tr>
    </w:tbl>
    <w:p w:rsidR="00FE4E8D" w:rsidRDefault="00C925FA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FE4E8D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18C4"/>
    <w:rsid w:val="00C925FA"/>
    <w:rsid w:val="00FE4E8D"/>
    <w:rsid w:val="1874121C"/>
    <w:rsid w:val="1D9D18C4"/>
    <w:rsid w:val="29317100"/>
    <w:rsid w:val="2C951C1E"/>
    <w:rsid w:val="2DD45ED2"/>
    <w:rsid w:val="30A03CF8"/>
    <w:rsid w:val="55A2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6A40B6-BB78-4869-BFCE-A2BC3762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845</Characters>
  <Application>Microsoft Office Word</Application>
  <DocSecurity>0</DocSecurity>
  <Lines>7</Lines>
  <Paragraphs>1</Paragraphs>
  <ScaleCrop>false</ScaleCrop>
  <Company>Home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2017-12-14T02:36:00Z</dcterms:created>
  <dcterms:modified xsi:type="dcterms:W3CDTF">2018-04-20T01:23:00Z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