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DD0" w:rsidRDefault="00597BD2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太湖县十六届人民代表大会</w:t>
      </w:r>
      <w:r>
        <w:rPr>
          <w:rFonts w:ascii="黑体" w:eastAsia="黑体" w:hAnsi="黑体" w:hint="eastAsia"/>
          <w:sz w:val="44"/>
          <w:szCs w:val="44"/>
        </w:rPr>
        <w:t>第二次</w:t>
      </w:r>
      <w:r>
        <w:rPr>
          <w:rFonts w:ascii="黑体" w:eastAsia="黑体" w:hAnsi="黑体" w:hint="eastAsia"/>
          <w:sz w:val="44"/>
          <w:szCs w:val="44"/>
        </w:rPr>
        <w:t>会议</w:t>
      </w:r>
    </w:p>
    <w:p w:rsidR="00504DD0" w:rsidRDefault="00597BD2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代表建议、批评、意见表</w:t>
      </w:r>
    </w:p>
    <w:tbl>
      <w:tblPr>
        <w:tblW w:w="88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54"/>
        <w:gridCol w:w="2374"/>
        <w:gridCol w:w="913"/>
        <w:gridCol w:w="913"/>
        <w:gridCol w:w="529"/>
        <w:gridCol w:w="2363"/>
        <w:gridCol w:w="30"/>
      </w:tblGrid>
      <w:tr w:rsidR="00504DD0">
        <w:trPr>
          <w:trHeight w:val="802"/>
        </w:trPr>
        <w:tc>
          <w:tcPr>
            <w:tcW w:w="1754" w:type="dxa"/>
          </w:tcPr>
          <w:p w:rsidR="00504DD0" w:rsidRDefault="00597BD2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代表姓名</w:t>
            </w:r>
          </w:p>
        </w:tc>
        <w:tc>
          <w:tcPr>
            <w:tcW w:w="3287" w:type="dxa"/>
            <w:gridSpan w:val="2"/>
          </w:tcPr>
          <w:p w:rsidR="00504DD0" w:rsidRDefault="00597BD2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proofErr w:type="gramStart"/>
            <w:r>
              <w:rPr>
                <w:rFonts w:ascii="楷体_GB2312" w:eastAsia="楷体_GB2312" w:hAnsi="黑体" w:hint="eastAsia"/>
                <w:sz w:val="30"/>
                <w:szCs w:val="30"/>
              </w:rPr>
              <w:t>查刘洋</w:t>
            </w:r>
            <w:proofErr w:type="gramEnd"/>
          </w:p>
        </w:tc>
        <w:tc>
          <w:tcPr>
            <w:tcW w:w="1442" w:type="dxa"/>
            <w:gridSpan w:val="2"/>
          </w:tcPr>
          <w:p w:rsidR="00504DD0" w:rsidRDefault="00597BD2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性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 xml:space="preserve">  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>别</w:t>
            </w:r>
          </w:p>
        </w:tc>
        <w:tc>
          <w:tcPr>
            <w:tcW w:w="2393" w:type="dxa"/>
            <w:gridSpan w:val="2"/>
          </w:tcPr>
          <w:p w:rsidR="00504DD0" w:rsidRDefault="00597BD2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女</w:t>
            </w:r>
          </w:p>
        </w:tc>
      </w:tr>
      <w:tr w:rsidR="00504DD0">
        <w:trPr>
          <w:trHeight w:val="1569"/>
        </w:trPr>
        <w:tc>
          <w:tcPr>
            <w:tcW w:w="1754" w:type="dxa"/>
          </w:tcPr>
          <w:p w:rsidR="00504DD0" w:rsidRDefault="00597BD2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工作单位</w:t>
            </w:r>
          </w:p>
        </w:tc>
        <w:tc>
          <w:tcPr>
            <w:tcW w:w="3287" w:type="dxa"/>
            <w:gridSpan w:val="2"/>
          </w:tcPr>
          <w:p w:rsidR="00504DD0" w:rsidRDefault="00597BD2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proofErr w:type="gramStart"/>
            <w:r>
              <w:rPr>
                <w:rFonts w:ascii="楷体_GB2312" w:eastAsia="楷体_GB2312" w:hAnsi="黑体" w:hint="eastAsia"/>
                <w:sz w:val="30"/>
                <w:szCs w:val="30"/>
              </w:rPr>
              <w:t>汤泉乡赵河</w:t>
            </w:r>
            <w:proofErr w:type="gramEnd"/>
            <w:r>
              <w:rPr>
                <w:rFonts w:ascii="楷体_GB2312" w:eastAsia="楷体_GB2312" w:hAnsi="黑体" w:hint="eastAsia"/>
                <w:sz w:val="30"/>
                <w:szCs w:val="30"/>
              </w:rPr>
              <w:t>幼儿园</w:t>
            </w:r>
          </w:p>
        </w:tc>
        <w:tc>
          <w:tcPr>
            <w:tcW w:w="1442" w:type="dxa"/>
            <w:gridSpan w:val="2"/>
          </w:tcPr>
          <w:p w:rsidR="00504DD0" w:rsidRDefault="00597BD2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联系电话</w:t>
            </w:r>
          </w:p>
        </w:tc>
        <w:tc>
          <w:tcPr>
            <w:tcW w:w="2393" w:type="dxa"/>
            <w:gridSpan w:val="2"/>
          </w:tcPr>
          <w:p w:rsidR="00504DD0" w:rsidRDefault="00504DD0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504DD0">
        <w:trPr>
          <w:trHeight w:val="802"/>
        </w:trPr>
        <w:tc>
          <w:tcPr>
            <w:tcW w:w="1754" w:type="dxa"/>
          </w:tcPr>
          <w:p w:rsidR="00504DD0" w:rsidRDefault="00597BD2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附议代表</w:t>
            </w:r>
          </w:p>
        </w:tc>
        <w:tc>
          <w:tcPr>
            <w:tcW w:w="4200" w:type="dxa"/>
            <w:gridSpan w:val="3"/>
          </w:tcPr>
          <w:p w:rsidR="00504DD0" w:rsidRDefault="00597BD2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工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 xml:space="preserve">  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>作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 xml:space="preserve">  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>单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 xml:space="preserve">  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>位</w:t>
            </w:r>
          </w:p>
        </w:tc>
        <w:tc>
          <w:tcPr>
            <w:tcW w:w="2922" w:type="dxa"/>
            <w:gridSpan w:val="3"/>
          </w:tcPr>
          <w:p w:rsidR="00504DD0" w:rsidRDefault="00597BD2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联系电话</w:t>
            </w:r>
          </w:p>
        </w:tc>
      </w:tr>
      <w:tr w:rsidR="00504DD0">
        <w:trPr>
          <w:trHeight w:val="920"/>
        </w:trPr>
        <w:tc>
          <w:tcPr>
            <w:tcW w:w="1754" w:type="dxa"/>
          </w:tcPr>
          <w:p w:rsidR="00504DD0" w:rsidRDefault="00597BD2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黄卢根</w:t>
            </w:r>
          </w:p>
        </w:tc>
        <w:tc>
          <w:tcPr>
            <w:tcW w:w="4200" w:type="dxa"/>
            <w:gridSpan w:val="3"/>
          </w:tcPr>
          <w:p w:rsidR="00504DD0" w:rsidRDefault="00597BD2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proofErr w:type="gramStart"/>
            <w:r>
              <w:rPr>
                <w:rFonts w:ascii="楷体_GB2312" w:eastAsia="楷体_GB2312" w:hAnsi="黑体" w:hint="eastAsia"/>
                <w:sz w:val="30"/>
                <w:szCs w:val="30"/>
              </w:rPr>
              <w:t>汤泉乡</w:t>
            </w:r>
            <w:proofErr w:type="gramEnd"/>
            <w:r>
              <w:rPr>
                <w:rFonts w:ascii="楷体_GB2312" w:eastAsia="楷体_GB2312" w:hAnsi="黑体" w:hint="eastAsia"/>
                <w:sz w:val="30"/>
                <w:szCs w:val="30"/>
              </w:rPr>
              <w:t>人民政府</w:t>
            </w:r>
          </w:p>
        </w:tc>
        <w:tc>
          <w:tcPr>
            <w:tcW w:w="2922" w:type="dxa"/>
            <w:gridSpan w:val="3"/>
          </w:tcPr>
          <w:p w:rsidR="00504DD0" w:rsidRDefault="00504DD0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bookmarkStart w:id="0" w:name="_GoBack"/>
            <w:bookmarkEnd w:id="0"/>
          </w:p>
        </w:tc>
      </w:tr>
      <w:tr w:rsidR="00504DD0">
        <w:trPr>
          <w:trHeight w:val="920"/>
        </w:trPr>
        <w:tc>
          <w:tcPr>
            <w:tcW w:w="1754" w:type="dxa"/>
          </w:tcPr>
          <w:p w:rsidR="00504DD0" w:rsidRDefault="00504DD0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200" w:type="dxa"/>
            <w:gridSpan w:val="3"/>
          </w:tcPr>
          <w:p w:rsidR="00504DD0" w:rsidRDefault="00504DD0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922" w:type="dxa"/>
            <w:gridSpan w:val="3"/>
          </w:tcPr>
          <w:p w:rsidR="00504DD0" w:rsidRDefault="00504DD0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504DD0">
        <w:trPr>
          <w:trHeight w:val="920"/>
        </w:trPr>
        <w:tc>
          <w:tcPr>
            <w:tcW w:w="1754" w:type="dxa"/>
          </w:tcPr>
          <w:p w:rsidR="00504DD0" w:rsidRDefault="00504DD0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200" w:type="dxa"/>
            <w:gridSpan w:val="3"/>
          </w:tcPr>
          <w:p w:rsidR="00504DD0" w:rsidRDefault="00504DD0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922" w:type="dxa"/>
            <w:gridSpan w:val="3"/>
          </w:tcPr>
          <w:p w:rsidR="00504DD0" w:rsidRDefault="00504DD0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504DD0">
        <w:trPr>
          <w:trHeight w:val="920"/>
        </w:trPr>
        <w:tc>
          <w:tcPr>
            <w:tcW w:w="1754" w:type="dxa"/>
          </w:tcPr>
          <w:p w:rsidR="00504DD0" w:rsidRDefault="00504DD0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200" w:type="dxa"/>
            <w:gridSpan w:val="3"/>
          </w:tcPr>
          <w:p w:rsidR="00504DD0" w:rsidRDefault="00504DD0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922" w:type="dxa"/>
            <w:gridSpan w:val="3"/>
          </w:tcPr>
          <w:p w:rsidR="00504DD0" w:rsidRDefault="00504DD0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504DD0">
        <w:trPr>
          <w:trHeight w:val="920"/>
        </w:trPr>
        <w:tc>
          <w:tcPr>
            <w:tcW w:w="1754" w:type="dxa"/>
          </w:tcPr>
          <w:p w:rsidR="00504DD0" w:rsidRDefault="00504DD0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200" w:type="dxa"/>
            <w:gridSpan w:val="3"/>
          </w:tcPr>
          <w:p w:rsidR="00504DD0" w:rsidRDefault="00504DD0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922" w:type="dxa"/>
            <w:gridSpan w:val="3"/>
          </w:tcPr>
          <w:p w:rsidR="00504DD0" w:rsidRDefault="00504DD0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504DD0">
        <w:trPr>
          <w:trHeight w:val="920"/>
        </w:trPr>
        <w:tc>
          <w:tcPr>
            <w:tcW w:w="1754" w:type="dxa"/>
          </w:tcPr>
          <w:p w:rsidR="00504DD0" w:rsidRDefault="00504DD0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200" w:type="dxa"/>
            <w:gridSpan w:val="3"/>
          </w:tcPr>
          <w:p w:rsidR="00504DD0" w:rsidRDefault="00504DD0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922" w:type="dxa"/>
            <w:gridSpan w:val="3"/>
          </w:tcPr>
          <w:p w:rsidR="00504DD0" w:rsidRDefault="00504DD0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504DD0">
        <w:trPr>
          <w:trHeight w:val="920"/>
        </w:trPr>
        <w:tc>
          <w:tcPr>
            <w:tcW w:w="1754" w:type="dxa"/>
          </w:tcPr>
          <w:p w:rsidR="00504DD0" w:rsidRDefault="00504DD0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200" w:type="dxa"/>
            <w:gridSpan w:val="3"/>
          </w:tcPr>
          <w:p w:rsidR="00504DD0" w:rsidRDefault="00504DD0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922" w:type="dxa"/>
            <w:gridSpan w:val="3"/>
          </w:tcPr>
          <w:p w:rsidR="00504DD0" w:rsidRDefault="00504DD0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504DD0">
        <w:trPr>
          <w:trHeight w:val="920"/>
        </w:trPr>
        <w:tc>
          <w:tcPr>
            <w:tcW w:w="1754" w:type="dxa"/>
          </w:tcPr>
          <w:p w:rsidR="00504DD0" w:rsidRDefault="00504DD0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200" w:type="dxa"/>
            <w:gridSpan w:val="3"/>
          </w:tcPr>
          <w:p w:rsidR="00504DD0" w:rsidRDefault="00504DD0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922" w:type="dxa"/>
            <w:gridSpan w:val="3"/>
          </w:tcPr>
          <w:p w:rsidR="00504DD0" w:rsidRDefault="00504DD0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504DD0">
        <w:trPr>
          <w:trHeight w:val="920"/>
        </w:trPr>
        <w:tc>
          <w:tcPr>
            <w:tcW w:w="1754" w:type="dxa"/>
            <w:vMerge w:val="restart"/>
          </w:tcPr>
          <w:p w:rsidR="00504DD0" w:rsidRDefault="00597BD2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处理意见</w:t>
            </w:r>
          </w:p>
        </w:tc>
        <w:tc>
          <w:tcPr>
            <w:tcW w:w="2374" w:type="dxa"/>
          </w:tcPr>
          <w:p w:rsidR="00504DD0" w:rsidRDefault="00597BD2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建议类别</w:t>
            </w:r>
          </w:p>
        </w:tc>
        <w:tc>
          <w:tcPr>
            <w:tcW w:w="1826" w:type="dxa"/>
            <w:gridSpan w:val="2"/>
          </w:tcPr>
          <w:p w:rsidR="00504DD0" w:rsidRDefault="00597BD2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编号</w:t>
            </w:r>
          </w:p>
        </w:tc>
        <w:tc>
          <w:tcPr>
            <w:tcW w:w="2922" w:type="dxa"/>
            <w:gridSpan w:val="3"/>
          </w:tcPr>
          <w:p w:rsidR="00504DD0" w:rsidRDefault="00597BD2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承办单位</w:t>
            </w:r>
          </w:p>
        </w:tc>
      </w:tr>
      <w:tr w:rsidR="00504DD0">
        <w:trPr>
          <w:trHeight w:val="920"/>
        </w:trPr>
        <w:tc>
          <w:tcPr>
            <w:tcW w:w="1754" w:type="dxa"/>
            <w:vMerge/>
          </w:tcPr>
          <w:p w:rsidR="00504DD0" w:rsidRDefault="00504DD0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374" w:type="dxa"/>
          </w:tcPr>
          <w:p w:rsidR="00504DD0" w:rsidRDefault="00504DD0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1826" w:type="dxa"/>
            <w:gridSpan w:val="2"/>
          </w:tcPr>
          <w:p w:rsidR="00504DD0" w:rsidRDefault="00504DD0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922" w:type="dxa"/>
            <w:gridSpan w:val="3"/>
          </w:tcPr>
          <w:p w:rsidR="00504DD0" w:rsidRDefault="00504DD0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504DD0">
        <w:trPr>
          <w:gridAfter w:val="1"/>
          <w:wAfter w:w="30" w:type="dxa"/>
          <w:trHeight w:val="802"/>
        </w:trPr>
        <w:tc>
          <w:tcPr>
            <w:tcW w:w="8846" w:type="dxa"/>
            <w:gridSpan w:val="6"/>
          </w:tcPr>
          <w:p w:rsidR="00504DD0" w:rsidRDefault="00597BD2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lastRenderedPageBreak/>
              <w:t>标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题：关于禁止电瓶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、毒药非法捕鱼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行为的建议</w:t>
            </w:r>
          </w:p>
        </w:tc>
      </w:tr>
      <w:tr w:rsidR="00504DD0">
        <w:trPr>
          <w:gridAfter w:val="1"/>
          <w:wAfter w:w="30" w:type="dxa"/>
          <w:trHeight w:val="326"/>
        </w:trPr>
        <w:tc>
          <w:tcPr>
            <w:tcW w:w="8846" w:type="dxa"/>
            <w:gridSpan w:val="6"/>
          </w:tcPr>
          <w:p w:rsidR="00504DD0" w:rsidRDefault="00597BD2">
            <w:pPr>
              <w:pStyle w:val="p0"/>
              <w:shd w:val="clear" w:color="auto" w:fill="FFFFFF"/>
              <w:spacing w:before="0" w:beforeAutospacing="0" w:after="0" w:afterAutospacing="0" w:line="640" w:lineRule="atLeast"/>
              <w:ind w:firstLine="640"/>
              <w:jc w:val="both"/>
              <w:rPr>
                <w:rFonts w:ascii="仿宋_GB2312" w:eastAsia="仿宋_GB2312" w:hAnsi="黑体" w:cs="Times New Roman"/>
                <w:kern w:val="2"/>
                <w:sz w:val="30"/>
                <w:szCs w:val="30"/>
              </w:rPr>
            </w:pPr>
            <w:r>
              <w:rPr>
                <w:rFonts w:ascii="仿宋_GB2312" w:eastAsia="仿宋_GB2312" w:hAnsi="黑体" w:cs="Times New Roman" w:hint="eastAsia"/>
                <w:kern w:val="2"/>
                <w:sz w:val="30"/>
                <w:szCs w:val="30"/>
              </w:rPr>
              <w:t>事</w:t>
            </w:r>
            <w:r>
              <w:rPr>
                <w:rFonts w:ascii="仿宋_GB2312" w:eastAsia="仿宋_GB2312" w:hAnsi="黑体" w:cs="Times New Roman" w:hint="eastAsia"/>
                <w:kern w:val="2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黑体" w:cs="Times New Roman" w:hint="eastAsia"/>
                <w:kern w:val="2"/>
                <w:sz w:val="30"/>
                <w:szCs w:val="30"/>
              </w:rPr>
              <w:t>由：近些年来，使用电瓶、毒药在河道、水塘、沟渠非法捕鱼的现象十分普遍。这不仅事关捕鱼人的生命安全，而且破坏了野生水域生态平衡，造成了某些本地特有的鱼类濒临灭绝，</w:t>
            </w:r>
            <w:proofErr w:type="gramStart"/>
            <w:r>
              <w:rPr>
                <w:rFonts w:ascii="仿宋_GB2312" w:eastAsia="仿宋_GB2312" w:hAnsi="黑体" w:cs="Times New Roman" w:hint="eastAsia"/>
                <w:kern w:val="2"/>
                <w:sz w:val="30"/>
                <w:szCs w:val="30"/>
              </w:rPr>
              <w:t>象</w:t>
            </w:r>
            <w:proofErr w:type="gramEnd"/>
            <w:r>
              <w:rPr>
                <w:rFonts w:ascii="仿宋_GB2312" w:eastAsia="仿宋_GB2312" w:hAnsi="黑体" w:cs="Times New Roman" w:hint="eastAsia"/>
                <w:kern w:val="2"/>
                <w:sz w:val="30"/>
                <w:szCs w:val="30"/>
              </w:rPr>
              <w:t>以前经常在清澈的河水中成群结队游弋的“红毛腮”、“花石板”等</w:t>
            </w:r>
            <w:proofErr w:type="gramStart"/>
            <w:r>
              <w:rPr>
                <w:rFonts w:ascii="仿宋_GB2312" w:eastAsia="仿宋_GB2312" w:hAnsi="黑体" w:cs="Times New Roman" w:hint="eastAsia"/>
                <w:kern w:val="2"/>
                <w:sz w:val="30"/>
                <w:szCs w:val="30"/>
              </w:rPr>
              <w:t>鱼已鲜少见</w:t>
            </w:r>
            <w:proofErr w:type="gramEnd"/>
            <w:r>
              <w:rPr>
                <w:rFonts w:ascii="仿宋_GB2312" w:eastAsia="仿宋_GB2312" w:hAnsi="黑体" w:cs="Times New Roman" w:hint="eastAsia"/>
                <w:kern w:val="2"/>
                <w:sz w:val="30"/>
                <w:szCs w:val="30"/>
              </w:rPr>
              <w:t>到，应引起有关部门的高度重视。使用电瓶、毒药等方式盲目乱捕，循环捕捞，大鱼小鱼全不放过，除了危害到野生鱼类的繁殖，更对生长在水中的小鱼小虾、泥鳅黄</w:t>
            </w:r>
            <w:proofErr w:type="gramStart"/>
            <w:r>
              <w:rPr>
                <w:rFonts w:ascii="仿宋_GB2312" w:eastAsia="仿宋_GB2312" w:hAnsi="黑体" w:cs="Times New Roman" w:hint="eastAsia"/>
                <w:kern w:val="2"/>
                <w:sz w:val="30"/>
                <w:szCs w:val="30"/>
              </w:rPr>
              <w:t>蟮</w:t>
            </w:r>
            <w:proofErr w:type="gramEnd"/>
            <w:r>
              <w:rPr>
                <w:rFonts w:ascii="仿宋_GB2312" w:eastAsia="仿宋_GB2312" w:hAnsi="黑体" w:cs="Times New Roman" w:hint="eastAsia"/>
                <w:kern w:val="2"/>
                <w:sz w:val="30"/>
                <w:szCs w:val="30"/>
              </w:rPr>
              <w:t>、野生甲鱼、贝壳螺蛳以及微小生物等带来灾难性破坏，导致局部水域生物链断裂。据了解，电鱼时由于电流电压较高，足以将大鱼电晕，小鱼电死。</w:t>
            </w:r>
            <w:r>
              <w:rPr>
                <w:rFonts w:ascii="仿宋_GB2312" w:eastAsia="仿宋_GB2312" w:hAnsi="黑体" w:cs="Times New Roman" w:hint="eastAsia"/>
                <w:kern w:val="2"/>
                <w:sz w:val="30"/>
                <w:szCs w:val="30"/>
              </w:rPr>
              <w:t>鱼受电击后，即使侥幸逃脱，其生殖系统也会遭到破坏，同时，电流会对水中的鱼卵带来损伤。这种“灭绝式”的捕鱼方式，违背了自然生态规律，照这样无休止、高频率地电</w:t>
            </w:r>
            <w:proofErr w:type="gramStart"/>
            <w:r>
              <w:rPr>
                <w:rFonts w:ascii="仿宋_GB2312" w:eastAsia="仿宋_GB2312" w:hAnsi="黑体" w:cs="Times New Roman" w:hint="eastAsia"/>
                <w:kern w:val="2"/>
                <w:sz w:val="30"/>
                <w:szCs w:val="30"/>
              </w:rPr>
              <w:t>捕</w:t>
            </w:r>
            <w:proofErr w:type="gramEnd"/>
            <w:r>
              <w:rPr>
                <w:rFonts w:ascii="仿宋_GB2312" w:eastAsia="仿宋_GB2312" w:hAnsi="黑体" w:cs="Times New Roman" w:hint="eastAsia"/>
                <w:kern w:val="2"/>
                <w:sz w:val="30"/>
                <w:szCs w:val="30"/>
              </w:rPr>
              <w:t>下去，势必将导致局部水域生态环境遭受毁灭性灾害。</w:t>
            </w:r>
          </w:p>
          <w:p w:rsidR="00504DD0" w:rsidRDefault="00597BD2">
            <w:pPr>
              <w:pStyle w:val="p0"/>
              <w:shd w:val="clear" w:color="auto" w:fill="FFFFFF"/>
              <w:spacing w:before="0" w:beforeAutospacing="0" w:after="0" w:afterAutospacing="0" w:line="640" w:lineRule="atLeast"/>
              <w:ind w:firstLine="640"/>
              <w:jc w:val="both"/>
              <w:rPr>
                <w:rFonts w:ascii="仿宋_GB2312" w:eastAsia="仿宋_GB2312" w:hAnsi="黑体" w:cs="Times New Roman"/>
                <w:kern w:val="2"/>
                <w:sz w:val="30"/>
                <w:szCs w:val="30"/>
              </w:rPr>
            </w:pPr>
            <w:r>
              <w:rPr>
                <w:rFonts w:ascii="仿宋_GB2312" w:eastAsia="仿宋_GB2312" w:hAnsi="黑体" w:cs="Times New Roman" w:hint="eastAsia"/>
                <w:kern w:val="2"/>
                <w:sz w:val="30"/>
                <w:szCs w:val="30"/>
              </w:rPr>
              <w:t>虽然，《渔业法》对使用炸鱼、毒鱼、电鱼等破坏渔业资源的方法进行捕捞的行为有处罚的相关规定，然而，目前对于农村普遍存在的非法电鱼、毒鱼行为，监督管理和执法主体不明，造成监管缺失和无人管理等问题。同时，由于农村电捕鱼、毒鱼的河塘、沟渠等比较偏僻、隐蔽、分散，而且电鱼、毒鱼的流动性大，势必增加了监管和查处的难度</w:t>
            </w:r>
            <w:r>
              <w:rPr>
                <w:rFonts w:ascii="仿宋_GB2312" w:eastAsia="仿宋_GB2312" w:hAnsi="黑体" w:cs="Times New Roman" w:hint="eastAsia"/>
                <w:kern w:val="2"/>
                <w:sz w:val="30"/>
                <w:szCs w:val="30"/>
              </w:rPr>
              <w:t>。</w:t>
            </w:r>
          </w:p>
        </w:tc>
      </w:tr>
      <w:tr w:rsidR="00504DD0">
        <w:trPr>
          <w:gridAfter w:val="1"/>
          <w:wAfter w:w="30" w:type="dxa"/>
          <w:trHeight w:val="13614"/>
        </w:trPr>
        <w:tc>
          <w:tcPr>
            <w:tcW w:w="8846" w:type="dxa"/>
            <w:gridSpan w:val="6"/>
          </w:tcPr>
          <w:p w:rsidR="00504DD0" w:rsidRDefault="00597BD2">
            <w:pPr>
              <w:pStyle w:val="p0"/>
              <w:shd w:val="clear" w:color="auto" w:fill="FFFFFF"/>
              <w:spacing w:before="0" w:beforeAutospacing="0" w:after="0" w:afterAutospacing="0" w:line="640" w:lineRule="atLeast"/>
              <w:ind w:firstLine="640"/>
              <w:jc w:val="both"/>
              <w:rPr>
                <w:rFonts w:ascii="仿宋_GB2312" w:eastAsia="仿宋_GB2312" w:hAnsi="黑体" w:cs="Times New Roman"/>
                <w:kern w:val="2"/>
                <w:sz w:val="30"/>
                <w:szCs w:val="30"/>
              </w:rPr>
            </w:pPr>
            <w:r>
              <w:rPr>
                <w:rFonts w:ascii="仿宋_GB2312" w:eastAsia="仿宋_GB2312" w:hAnsi="黑体" w:cs="Times New Roman" w:hint="eastAsia"/>
                <w:kern w:val="2"/>
                <w:sz w:val="30"/>
                <w:szCs w:val="30"/>
              </w:rPr>
              <w:lastRenderedPageBreak/>
              <w:t>建</w:t>
            </w:r>
            <w:r>
              <w:rPr>
                <w:rFonts w:ascii="仿宋_GB2312" w:eastAsia="仿宋_GB2312" w:hAnsi="黑体" w:cs="Times New Roman" w:hint="eastAsia"/>
                <w:kern w:val="2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黑体" w:cs="Times New Roman" w:hint="eastAsia"/>
                <w:kern w:val="2"/>
                <w:sz w:val="30"/>
                <w:szCs w:val="30"/>
              </w:rPr>
              <w:t>议：一、加大宣传教育力度。加深对相关法律法规的普及和宣传教育的广度，让部分行为人树立安全高于一切的思想理念，使其充分认识到使用电瓶捕鱼、毒鱼，是一种违法行为，不仅危害自身安全，也是对生态资源的一种严重破坏，必将承担相应的法律责任。从而进一步提升广大群众自觉保护生态环境的法律意识。</w:t>
            </w:r>
          </w:p>
          <w:p w:rsidR="00504DD0" w:rsidRDefault="00597BD2">
            <w:pPr>
              <w:pStyle w:val="p0"/>
              <w:shd w:val="clear" w:color="auto" w:fill="FFFFFF"/>
              <w:spacing w:before="0" w:beforeAutospacing="0" w:after="0" w:afterAutospacing="0" w:line="640" w:lineRule="atLeast"/>
              <w:ind w:firstLine="640"/>
              <w:jc w:val="both"/>
              <w:rPr>
                <w:rFonts w:ascii="仿宋_GB2312" w:eastAsia="仿宋_GB2312" w:hAnsi="黑体" w:cs="Times New Roman"/>
                <w:kern w:val="2"/>
                <w:sz w:val="30"/>
                <w:szCs w:val="30"/>
              </w:rPr>
            </w:pPr>
            <w:r>
              <w:rPr>
                <w:rFonts w:ascii="仿宋_GB2312" w:eastAsia="仿宋_GB2312" w:hAnsi="黑体" w:cs="Times New Roman" w:hint="eastAsia"/>
                <w:kern w:val="2"/>
                <w:sz w:val="30"/>
                <w:szCs w:val="30"/>
              </w:rPr>
              <w:t>二、强化联合执法力度。进一步明确执法主体，采取有力的监管协调和治理措施，建立政府、公安、渔政、水产以及村民自治组织等多部门、多途径联合执法、监管机制，严厉查处电力捕鱼、毒鱼违法行为。对于查获的非法电捕鱼器具、毒药和违法所</w:t>
            </w:r>
            <w:r>
              <w:rPr>
                <w:rFonts w:ascii="仿宋_GB2312" w:eastAsia="仿宋_GB2312" w:hAnsi="黑体" w:cs="Times New Roman" w:hint="eastAsia"/>
                <w:kern w:val="2"/>
                <w:sz w:val="30"/>
                <w:szCs w:val="30"/>
              </w:rPr>
              <w:t>得予以没收，轻者按照有关规定进行处罚，情节严重的，追究其法律责任。</w:t>
            </w:r>
          </w:p>
          <w:p w:rsidR="00504DD0" w:rsidRDefault="00597BD2">
            <w:pPr>
              <w:pStyle w:val="p0"/>
              <w:shd w:val="clear" w:color="auto" w:fill="FFFFFF"/>
              <w:spacing w:before="0" w:beforeAutospacing="0" w:after="0" w:afterAutospacing="0" w:line="640" w:lineRule="atLeast"/>
              <w:ind w:firstLine="640"/>
              <w:jc w:val="both"/>
              <w:rPr>
                <w:rFonts w:ascii="仿宋_GB2312" w:eastAsia="仿宋_GB2312" w:hAnsi="黑体" w:cs="Times New Roman"/>
                <w:kern w:val="2"/>
                <w:sz w:val="30"/>
                <w:szCs w:val="30"/>
              </w:rPr>
            </w:pPr>
            <w:r>
              <w:rPr>
                <w:rFonts w:ascii="仿宋_GB2312" w:eastAsia="仿宋_GB2312" w:hAnsi="黑体" w:cs="Times New Roman" w:hint="eastAsia"/>
                <w:kern w:val="2"/>
                <w:sz w:val="30"/>
                <w:szCs w:val="30"/>
              </w:rPr>
              <w:t>三、建立长效监管制度。要进一步加大对农村非法</w:t>
            </w:r>
            <w:proofErr w:type="gramStart"/>
            <w:r>
              <w:rPr>
                <w:rFonts w:ascii="仿宋_GB2312" w:eastAsia="仿宋_GB2312" w:hAnsi="黑体" w:cs="Times New Roman" w:hint="eastAsia"/>
                <w:kern w:val="2"/>
                <w:sz w:val="30"/>
                <w:szCs w:val="30"/>
              </w:rPr>
              <w:t>捕鱼户</w:t>
            </w:r>
            <w:proofErr w:type="gramEnd"/>
            <w:r>
              <w:rPr>
                <w:rFonts w:ascii="仿宋_GB2312" w:eastAsia="仿宋_GB2312" w:hAnsi="黑体" w:cs="Times New Roman" w:hint="eastAsia"/>
                <w:kern w:val="2"/>
                <w:sz w:val="30"/>
                <w:szCs w:val="30"/>
              </w:rPr>
              <w:t>的定期摸底排查。鉴于农村电鱼、毒鱼行为分散、隐蔽和流动性，实行群众有奖举报机制，查实后给予举报人一定物质奖励，让非法电鱼、毒鱼者无法立足、无处藏身。同时，加大对农村河道和沟渠、池塘、水库的综合利用和保护，有效控制非法捕鱼区域，从源头上杜绝非法捕鱼的行为。</w:t>
            </w:r>
          </w:p>
          <w:p w:rsidR="00504DD0" w:rsidRDefault="00597BD2">
            <w:pPr>
              <w:pStyle w:val="p0"/>
              <w:shd w:val="clear" w:color="auto" w:fill="FFFFFF"/>
              <w:spacing w:before="0" w:beforeAutospacing="0" w:after="0" w:afterAutospacing="0" w:line="640" w:lineRule="atLeast"/>
              <w:ind w:firstLineChars="200" w:firstLine="600"/>
              <w:jc w:val="both"/>
              <w:rPr>
                <w:rFonts w:ascii="仿宋_GB2312" w:eastAsia="仿宋_GB2312" w:hAnsi="黑体" w:cs="Times New Roman"/>
                <w:kern w:val="2"/>
                <w:sz w:val="30"/>
                <w:szCs w:val="30"/>
              </w:rPr>
            </w:pPr>
            <w:r>
              <w:rPr>
                <w:rFonts w:ascii="仿宋_GB2312" w:eastAsia="仿宋_GB2312" w:hAnsi="黑体" w:cs="Times New Roman" w:hint="eastAsia"/>
                <w:kern w:val="2"/>
                <w:sz w:val="30"/>
                <w:szCs w:val="30"/>
              </w:rPr>
              <w:t>四、持续不断加大打击力度。加强群众反映集中的重点区域、重点河道的违法行为查处，加强乡镇级河道的巡逻检查。同时，组织突击联合检查，在电、毒、炸鱼非法捕捞发生高峰阶段，组织力量开展联合检查行动，保持对非法捕捞行为的高压态势，接到举报后快速出击。</w:t>
            </w:r>
          </w:p>
        </w:tc>
      </w:tr>
    </w:tbl>
    <w:p w:rsidR="00504DD0" w:rsidRDefault="00504DD0"/>
    <w:sectPr w:rsidR="00504D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8D1397"/>
    <w:rsid w:val="00504DD0"/>
    <w:rsid w:val="00597BD2"/>
    <w:rsid w:val="338D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9401CD2-213E-42F3-B28D-5C04BDE0B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188</Words>
  <Characters>1072</Characters>
  <Application>Microsoft Office Word</Application>
  <DocSecurity>0</DocSecurity>
  <Lines>8</Lines>
  <Paragraphs>2</Paragraphs>
  <ScaleCrop>false</ScaleCrop>
  <Company>Home</Company>
  <LinksUpToDate>false</LinksUpToDate>
  <CharactersWithSpaces>1258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China</cp:lastModifiedBy>
  <cp:revision>2</cp:revision>
  <dcterms:created xsi:type="dcterms:W3CDTF">2017-12-18T02:53:00Z</dcterms:created>
  <dcterms:modified xsi:type="dcterms:W3CDTF">2018-04-20T01:19:00Z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