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386" w:rsidRDefault="00262BB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</w:t>
      </w:r>
      <w:r>
        <w:rPr>
          <w:rFonts w:ascii="黑体" w:eastAsia="黑体" w:hAnsi="黑体" w:hint="eastAsia"/>
          <w:sz w:val="44"/>
          <w:szCs w:val="44"/>
        </w:rPr>
        <w:t>第二次</w:t>
      </w:r>
      <w:r>
        <w:rPr>
          <w:rFonts w:ascii="黑体" w:eastAsia="黑体" w:hAnsi="黑体" w:hint="eastAsia"/>
          <w:sz w:val="44"/>
          <w:szCs w:val="44"/>
        </w:rPr>
        <w:t>会议</w:t>
      </w:r>
    </w:p>
    <w:p w:rsidR="00324386" w:rsidRDefault="00262BB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57"/>
      </w:tblGrid>
      <w:tr w:rsidR="00324386">
        <w:tc>
          <w:tcPr>
            <w:tcW w:w="1728" w:type="dxa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黄卢根</w:t>
            </w:r>
          </w:p>
        </w:tc>
        <w:tc>
          <w:tcPr>
            <w:tcW w:w="1423" w:type="dxa"/>
            <w:gridSpan w:val="2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324386">
        <w:tc>
          <w:tcPr>
            <w:tcW w:w="1728" w:type="dxa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汤泉乡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人民政府</w:t>
            </w:r>
          </w:p>
        </w:tc>
        <w:tc>
          <w:tcPr>
            <w:tcW w:w="1423" w:type="dxa"/>
            <w:gridSpan w:val="2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</w:tcPr>
          <w:p w:rsidR="00324386" w:rsidRDefault="00324386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324386">
        <w:tc>
          <w:tcPr>
            <w:tcW w:w="1728" w:type="dxa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2"/>
          </w:tcPr>
          <w:p w:rsidR="00324386" w:rsidRDefault="00262BB2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324386">
        <w:tc>
          <w:tcPr>
            <w:tcW w:w="1728" w:type="dxa"/>
            <w:vMerge w:val="restart"/>
          </w:tcPr>
          <w:p w:rsidR="00324386" w:rsidRDefault="00262BB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324386" w:rsidRDefault="00262BB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324386" w:rsidRDefault="00262BB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2"/>
          </w:tcPr>
          <w:p w:rsidR="00324386" w:rsidRDefault="00262BB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324386">
        <w:tc>
          <w:tcPr>
            <w:tcW w:w="1728" w:type="dxa"/>
            <w:vMerge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324386" w:rsidRDefault="00324386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</w:tbl>
    <w:p w:rsidR="00324386" w:rsidRDefault="00324386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324386">
        <w:trPr>
          <w:trHeight w:val="776"/>
        </w:trPr>
        <w:tc>
          <w:tcPr>
            <w:tcW w:w="9000" w:type="dxa"/>
          </w:tcPr>
          <w:p w:rsidR="00324386" w:rsidRDefault="00262BB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题：关于林业山场开发方面的建议</w:t>
            </w:r>
          </w:p>
        </w:tc>
      </w:tr>
      <w:tr w:rsidR="00324386">
        <w:trPr>
          <w:trHeight w:val="6525"/>
        </w:trPr>
        <w:tc>
          <w:tcPr>
            <w:tcW w:w="9000" w:type="dxa"/>
          </w:tcPr>
          <w:p w:rsidR="00324386" w:rsidRDefault="00262BB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由：近年来，县委、县政府对荒山开发高度重视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并且出台了一系列的奖励补助政策，鼓励大力拓荒造林发展产业的合作社或造林大户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全县荒山开发呈现大规模开发的强劲势头。同时一些相应的问题也应运而生。在水土保持、林道建设、林下经济发展等许多方面均不同程度地暴露出许多问题。如由于大面积无序开挖荒山造成大量的水土流失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形成地质灾害隐患点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;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林道建设不到位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形成交通安全隐患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;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栽植后山场管理严重不到位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,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许多山场又恢复开发前原样等。</w:t>
            </w:r>
          </w:p>
        </w:tc>
      </w:tr>
      <w:tr w:rsidR="00324386">
        <w:trPr>
          <w:trHeight w:val="6093"/>
        </w:trPr>
        <w:tc>
          <w:tcPr>
            <w:tcW w:w="9000" w:type="dxa"/>
          </w:tcPr>
          <w:p w:rsidR="00324386" w:rsidRDefault="00262BB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一、要不断加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大山场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开发的基础设施投入力度。综合解决开发山场的道路建设和排水、灌溉的水利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设施建设。</w:t>
            </w:r>
          </w:p>
          <w:p w:rsidR="00324386" w:rsidRDefault="00262BB2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二、加大已造林地的管护和抚育力度。要造一块成一块，鼓励套种或间作式的管理，并予以项目支持。如板栗或山核桃下套种茶叶等。</w:t>
            </w:r>
          </w:p>
        </w:tc>
      </w:tr>
    </w:tbl>
    <w:p w:rsidR="00324386" w:rsidRDefault="00262BB2"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324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76510"/>
    <w:rsid w:val="00262BB2"/>
    <w:rsid w:val="00324386"/>
    <w:rsid w:val="2547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074236-AE2D-4FB9-85F5-78E6FD9B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80</Words>
  <Characters>460</Characters>
  <Application>Microsoft Office Word</Application>
  <DocSecurity>0</DocSecurity>
  <Lines>3</Lines>
  <Paragraphs>1</Paragraphs>
  <ScaleCrop>false</ScaleCrop>
  <Company>Home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2017-12-18T02:56:00Z</dcterms:created>
  <dcterms:modified xsi:type="dcterms:W3CDTF">2018-04-20T01:19:00Z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