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right"/>
        <w:textAlignment w:val="baseline"/>
        <w:rPr>
          <w:rFonts w:hint="eastAsia" w:ascii="仿宋_GB2312" w:hAnsi="宋体" w:eastAsia="黑体" w:cs="宋体"/>
          <w:b/>
          <w:bCs/>
          <w:kern w:val="0"/>
          <w:sz w:val="32"/>
          <w:szCs w:val="32"/>
          <w:lang w:val="en-US" w:eastAsia="zh-CN"/>
        </w:rPr>
      </w:pPr>
      <w:r>
        <w:rPr>
          <w:rFonts w:hint="eastAsia" w:ascii="黑体" w:hAnsi="黑体" w:eastAsia="黑体" w:cs="黑体"/>
          <w:b/>
          <w:bCs/>
          <w:kern w:val="0"/>
          <w:sz w:val="32"/>
          <w:szCs w:val="32"/>
        </w:rPr>
        <w:t>办理结果：</w:t>
      </w:r>
      <w:r>
        <w:rPr>
          <w:rFonts w:hint="eastAsia" w:ascii="黑体" w:hAnsi="黑体" w:eastAsia="黑体" w:cs="黑体"/>
          <w:b/>
          <w:bCs/>
          <w:kern w:val="0"/>
          <w:sz w:val="32"/>
          <w:szCs w:val="32"/>
          <w:lang w:val="en-US" w:eastAsia="zh-CN"/>
        </w:rPr>
        <w:t>A</w:t>
      </w:r>
    </w:p>
    <w:p>
      <w:pPr>
        <w:spacing w:line="600" w:lineRule="exact"/>
        <w:jc w:val="center"/>
        <w:rPr>
          <w:rFonts w:ascii="Wingdings 2" w:hAnsi="Wingdings 2" w:eastAsia="方正小标宋简体"/>
          <w:color w:val="FF0000"/>
          <w:spacing w:val="-20"/>
          <w:w w:val="50"/>
          <w:sz w:val="144"/>
          <w:szCs w:val="144"/>
        </w:rPr>
      </w:pPr>
    </w:p>
    <w:p>
      <w:pPr>
        <w:spacing w:line="600" w:lineRule="exact"/>
        <w:jc w:val="both"/>
        <w:rPr>
          <w:rFonts w:ascii="Wingdings 2" w:hAnsi="Wingdings 2" w:eastAsia="方正小标宋简体"/>
          <w:color w:val="FF0000"/>
          <w:spacing w:val="-20"/>
          <w:w w:val="50"/>
          <w:sz w:val="144"/>
          <w:szCs w:val="144"/>
        </w:rPr>
      </w:pPr>
    </w:p>
    <w:p>
      <w:pPr>
        <w:jc w:val="center"/>
        <w:rPr>
          <w:rFonts w:ascii="Wingdings 2" w:hAnsi="Wingdings 2" w:eastAsia="方正小标宋简体"/>
          <w:color w:val="FF0000"/>
          <w:spacing w:val="30"/>
          <w:w w:val="66"/>
          <w:sz w:val="144"/>
          <w:szCs w:val="144"/>
        </w:rPr>
      </w:pPr>
      <w:r>
        <w:rPr>
          <w:rFonts w:hint="eastAsia" w:ascii="Wingdings 2" w:hAnsi="Wingdings 2" w:eastAsia="方正小标宋简体"/>
          <w:color w:val="FF0000"/>
          <w:spacing w:val="30"/>
          <w:w w:val="66"/>
          <w:sz w:val="144"/>
          <w:szCs w:val="144"/>
        </w:rPr>
        <w:t>太湖县林业局文件</w:t>
      </w:r>
    </w:p>
    <w:p>
      <w:pPr>
        <w:jc w:val="center"/>
        <w:rPr>
          <w:rFonts w:hint="eastAsia" w:ascii="仿宋_GB2312" w:hAnsi="华文中宋" w:eastAsia="仿宋_GB2312"/>
          <w:sz w:val="32"/>
          <w:szCs w:val="32"/>
        </w:rPr>
      </w:pPr>
      <w:r>
        <w:rPr>
          <w:rFonts w:hint="eastAsia" w:ascii="仿宋_GB2312" w:hAnsi="华文中宋" w:eastAsia="仿宋_GB2312"/>
          <w:sz w:val="32"/>
          <w:szCs w:val="32"/>
        </w:rPr>
        <w:t xml:space="preserve">    </w:t>
      </w:r>
    </w:p>
    <w:p>
      <w:pPr>
        <w:jc w:val="center"/>
        <w:rPr>
          <w:rFonts w:ascii="仿宋_GB2312" w:hAnsi="华文中宋" w:eastAsia="仿宋_GB2312"/>
          <w:sz w:val="32"/>
          <w:szCs w:val="32"/>
        </w:rPr>
      </w:pPr>
      <w:r>
        <w:rPr>
          <w:rFonts w:hint="eastAsia" w:ascii="仿宋_GB2312" w:hAnsi="MS PGothic" w:eastAsia="仿宋_GB2312" w:cs="宋体"/>
          <w:color w:val="000000"/>
          <w:sz w:val="32"/>
          <w:szCs w:val="32"/>
        </w:rPr>
        <w:t>太林办〔2018〕</w:t>
      </w:r>
      <w:r>
        <w:rPr>
          <w:rFonts w:hint="eastAsia" w:ascii="仿宋_GB2312" w:hAnsi="MS PGothic" w:eastAsia="仿宋_GB2312" w:cs="宋体"/>
          <w:color w:val="000000"/>
          <w:sz w:val="32"/>
          <w:szCs w:val="32"/>
          <w:lang w:val="en-US" w:eastAsia="zh-CN"/>
        </w:rPr>
        <w:t>24</w:t>
      </w:r>
      <w:r>
        <w:rPr>
          <w:rFonts w:hint="eastAsia" w:ascii="仿宋_GB2312" w:hAnsi="MS PGothic" w:eastAsia="仿宋_GB2312" w:cs="宋体"/>
          <w:color w:val="000000"/>
          <w:sz w:val="32"/>
          <w:szCs w:val="32"/>
        </w:rPr>
        <w:t>号</w:t>
      </w:r>
      <w:r>
        <w:rPr>
          <w:rFonts w:hint="eastAsia" w:ascii="仿宋_GB2312" w:hAnsi="华文中宋" w:eastAsia="仿宋_GB2312"/>
          <w:sz w:val="32"/>
          <w:szCs w:val="32"/>
        </w:rPr>
        <w:t xml:space="preserve"> </w:t>
      </w:r>
      <w:r>
        <w:rPr>
          <w:rFonts w:hint="eastAsia" w:ascii="仿宋_GB2312" w:hAnsi="华文中宋" w:eastAsia="仿宋_GB2312"/>
          <w:sz w:val="32"/>
          <w:szCs w:val="32"/>
          <w:lang w:val="en-US" w:eastAsia="zh-CN"/>
        </w:rPr>
        <w:t xml:space="preserve">                        签发人：王彬</w:t>
      </w:r>
    </w:p>
    <w:p>
      <w:pPr>
        <w:spacing w:line="420" w:lineRule="exact"/>
        <w:rPr>
          <w:rFonts w:hint="eastAsia" w:ascii="Times New Roman" w:hAnsi="Times New Roman" w:eastAsia="宋体"/>
          <w:b/>
          <w:color w:val="FF0000"/>
          <w:sz w:val="28"/>
          <w:szCs w:val="28"/>
          <w:u w:val="single"/>
        </w:rPr>
      </w:pPr>
      <w:r>
        <w:rPr>
          <w:b/>
          <w:color w:val="FF0000"/>
          <w:sz w:val="28"/>
          <w:szCs w:val="28"/>
          <w:u w:val="single"/>
        </w:rPr>
        <w:t xml:space="preserve">                                                               </w:t>
      </w:r>
    </w:p>
    <w:p>
      <w:pPr>
        <w:spacing w:line="400" w:lineRule="exact"/>
        <w:rPr>
          <w:rFonts w:hint="eastAsia" w:ascii="方正小标宋简体" w:hAnsi="方正小标宋简体" w:eastAsia="方正小标宋简体" w:cs="方正小标宋简体"/>
          <w:b/>
          <w:sz w:val="36"/>
          <w:szCs w:val="36"/>
        </w:rPr>
      </w:pPr>
    </w:p>
    <w:p>
      <w:pPr>
        <w:keepNext w:val="0"/>
        <w:keepLines w:val="0"/>
        <w:pageBreakBefore w:val="0"/>
        <w:widowControl w:val="0"/>
        <w:kinsoku/>
        <w:overflowPunct/>
        <w:topLinePunct w:val="0"/>
        <w:autoSpaceDE/>
        <w:autoSpaceDN/>
        <w:bidi w:val="0"/>
        <w:adjustRightInd/>
        <w:snapToGrid/>
        <w:spacing w:line="500" w:lineRule="exact"/>
        <w:ind w:right="0" w:rightChars="0"/>
        <w:jc w:val="center"/>
        <w:textAlignment w:val="auto"/>
        <w:outlineLvl w:val="9"/>
        <w:rPr>
          <w:rFonts w:hint="eastAsia" w:ascii="方正小标宋简体" w:hAnsi="方正小标宋简体" w:eastAsia="方正小标宋简体" w:cs="方正小标宋简体"/>
          <w:bCs/>
          <w:spacing w:val="-20"/>
          <w:sz w:val="44"/>
          <w:szCs w:val="44"/>
        </w:rPr>
      </w:pPr>
      <w:r>
        <w:rPr>
          <w:rFonts w:hint="eastAsia" w:ascii="方正小标宋简体" w:hAnsi="方正小标宋简体" w:eastAsia="方正小标宋简体" w:cs="方正小标宋简体"/>
          <w:b/>
          <w:bCs w:val="0"/>
          <w:spacing w:val="-20"/>
          <w:sz w:val="44"/>
          <w:szCs w:val="44"/>
        </w:rPr>
        <w:t>关于对县</w:t>
      </w:r>
      <w:r>
        <w:rPr>
          <w:rFonts w:hint="eastAsia" w:ascii="方正小标宋简体" w:hAnsi="方正小标宋简体" w:eastAsia="方正小标宋简体" w:cs="方正小标宋简体"/>
          <w:b/>
          <w:bCs w:val="0"/>
          <w:spacing w:val="-20"/>
          <w:sz w:val="44"/>
          <w:szCs w:val="44"/>
          <w:lang w:eastAsia="zh-CN"/>
        </w:rPr>
        <w:t>十六</w:t>
      </w:r>
      <w:r>
        <w:rPr>
          <w:rFonts w:hint="eastAsia" w:ascii="方正小标宋简体" w:hAnsi="方正小标宋简体" w:eastAsia="方正小标宋简体" w:cs="方正小标宋简体"/>
          <w:b/>
          <w:bCs w:val="0"/>
          <w:spacing w:val="-20"/>
          <w:sz w:val="44"/>
          <w:szCs w:val="44"/>
        </w:rPr>
        <w:t>届人大</w:t>
      </w:r>
      <w:r>
        <w:rPr>
          <w:rFonts w:hint="eastAsia" w:ascii="方正小标宋简体" w:hAnsi="方正小标宋简体" w:eastAsia="方正小标宋简体" w:cs="方正小标宋简体"/>
          <w:b/>
          <w:bCs w:val="0"/>
          <w:spacing w:val="-20"/>
          <w:sz w:val="44"/>
          <w:szCs w:val="44"/>
          <w:lang w:eastAsia="zh-CN"/>
        </w:rPr>
        <w:t>二</w:t>
      </w:r>
      <w:r>
        <w:rPr>
          <w:rFonts w:hint="eastAsia" w:ascii="方正小标宋简体" w:hAnsi="方正小标宋简体" w:eastAsia="方正小标宋简体" w:cs="方正小标宋简体"/>
          <w:b/>
          <w:bCs w:val="0"/>
          <w:spacing w:val="-20"/>
          <w:sz w:val="44"/>
          <w:szCs w:val="44"/>
        </w:rPr>
        <w:t>次会议第</w:t>
      </w:r>
      <w:r>
        <w:rPr>
          <w:rFonts w:hint="eastAsia" w:ascii="方正小标宋简体" w:hAnsi="方正小标宋简体" w:eastAsia="方正小标宋简体" w:cs="方正小标宋简体"/>
          <w:b/>
          <w:bCs w:val="0"/>
          <w:spacing w:val="-20"/>
          <w:sz w:val="44"/>
          <w:szCs w:val="44"/>
          <w:lang w:val="en-US" w:eastAsia="zh-CN"/>
        </w:rPr>
        <w:t>001</w:t>
      </w:r>
      <w:r>
        <w:rPr>
          <w:rFonts w:hint="eastAsia" w:ascii="方正小标宋简体" w:hAnsi="方正小标宋简体" w:eastAsia="方正小标宋简体" w:cs="方正小标宋简体"/>
          <w:b/>
          <w:bCs w:val="0"/>
          <w:spacing w:val="-20"/>
          <w:sz w:val="44"/>
          <w:szCs w:val="44"/>
        </w:rPr>
        <w:t>号建议的答复</w:t>
      </w:r>
    </w:p>
    <w:p>
      <w:pPr>
        <w:keepNext w:val="0"/>
        <w:keepLines w:val="0"/>
        <w:pageBreakBefore w:val="0"/>
        <w:widowControl w:val="0"/>
        <w:kinsoku/>
        <w:overflowPunct/>
        <w:topLinePunct w:val="0"/>
        <w:autoSpaceDE/>
        <w:autoSpaceDN/>
        <w:bidi w:val="0"/>
        <w:adjustRightInd/>
        <w:snapToGrid/>
        <w:spacing w:line="500" w:lineRule="exact"/>
        <w:ind w:right="0" w:rightChars="0" w:firstLine="2070"/>
        <w:textAlignment w:val="auto"/>
        <w:outlineLvl w:val="9"/>
        <w:rPr>
          <w:rFonts w:ascii="仿宋_GB2312" w:eastAsia="仿宋_GB2312"/>
          <w:sz w:val="32"/>
          <w:szCs w:val="32"/>
        </w:rPr>
      </w:pPr>
    </w:p>
    <w:p>
      <w:pPr>
        <w:keepNext w:val="0"/>
        <w:keepLines w:val="0"/>
        <w:pageBreakBefore w:val="0"/>
        <w:widowControl w:val="0"/>
        <w:kinsoku/>
        <w:overflowPunct/>
        <w:topLinePunct w:val="0"/>
        <w:autoSpaceDE/>
        <w:autoSpaceDN/>
        <w:bidi w:val="0"/>
        <w:adjustRightInd/>
        <w:snapToGrid/>
        <w:spacing w:line="500" w:lineRule="exact"/>
        <w:ind w:right="0" w:rightChars="0"/>
        <w:textAlignment w:val="auto"/>
        <w:outlineLvl w:val="9"/>
        <w:rPr>
          <w:rFonts w:ascii="仿宋_GB2312" w:eastAsia="仿宋_GB2312"/>
          <w:sz w:val="32"/>
          <w:szCs w:val="32"/>
        </w:rPr>
      </w:pPr>
      <w:r>
        <w:rPr>
          <w:rFonts w:hint="eastAsia" w:ascii="仿宋_GB2312" w:eastAsia="仿宋_GB2312"/>
          <w:sz w:val="32"/>
          <w:szCs w:val="32"/>
          <w:lang w:eastAsia="zh-CN"/>
        </w:rPr>
        <w:t>黄炉根</w:t>
      </w:r>
      <w:r>
        <w:rPr>
          <w:rFonts w:hint="eastAsia" w:ascii="仿宋_GB2312" w:eastAsia="仿宋_GB2312"/>
          <w:sz w:val="32"/>
          <w:szCs w:val="32"/>
        </w:rPr>
        <w:t>代表：</w:t>
      </w:r>
    </w:p>
    <w:p>
      <w:pPr>
        <w:keepNext w:val="0"/>
        <w:keepLines w:val="0"/>
        <w:pageBreakBefore w:val="0"/>
        <w:widowControl w:val="0"/>
        <w:kinsoku/>
        <w:overflowPunct/>
        <w:topLinePunct w:val="0"/>
        <w:autoSpaceDE/>
        <w:autoSpaceDN/>
        <w:bidi w:val="0"/>
        <w:adjustRightInd/>
        <w:snapToGrid/>
        <w:spacing w:line="500" w:lineRule="exact"/>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您提出的《关于关于林业山场开发方面的建议》收悉，现答复如下：</w:t>
      </w:r>
    </w:p>
    <w:p>
      <w:pPr>
        <w:keepNext w:val="0"/>
        <w:keepLines w:val="0"/>
        <w:pageBreakBefore w:val="0"/>
        <w:widowControl w:val="0"/>
        <w:kinsoku/>
        <w:overflowPunct/>
        <w:topLinePunct w:val="0"/>
        <w:autoSpaceDE/>
        <w:autoSpaceDN/>
        <w:bidi w:val="0"/>
        <w:adjustRightInd/>
        <w:snapToGrid/>
        <w:spacing w:line="500" w:lineRule="exact"/>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我县坚持“生态立县”战略，以实施林长制为总牵引，以落实林业增绿、增效行动为抓手，将林业发展建设和乡村振兴有机结合，坚定不移地推进生态文明建设。并以消灭芭茅山为突破口，将芭茅山治理作为林业增绿、增效的主战场，以决战决胜的态势坚定不移地推进造林绿化和林业产业发展。</w:t>
      </w:r>
    </w:p>
    <w:p>
      <w:pPr>
        <w:keepNext w:val="0"/>
        <w:keepLines w:val="0"/>
        <w:pageBreakBefore w:val="0"/>
        <w:widowControl w:val="0"/>
        <w:kinsoku/>
        <w:overflowPunct/>
        <w:topLinePunct w:val="0"/>
        <w:autoSpaceDE/>
        <w:autoSpaceDN/>
        <w:bidi w:val="0"/>
        <w:adjustRightInd/>
        <w:snapToGrid/>
        <w:spacing w:line="500" w:lineRule="exact"/>
        <w:ind w:right="0" w:rightChars="0" w:firstLine="640" w:firstLineChars="200"/>
        <w:textAlignment w:val="auto"/>
        <w:outlineLvl w:val="9"/>
        <w:rPr>
          <w:rFonts w:hint="eastAsia" w:ascii="黑体" w:hAnsi="黑体" w:eastAsia="黑体" w:cs="黑体"/>
          <w:b w:val="0"/>
          <w:bCs w:val="0"/>
          <w:sz w:val="32"/>
          <w:szCs w:val="32"/>
        </w:rPr>
      </w:pPr>
      <w:r>
        <w:rPr>
          <w:rFonts w:hint="eastAsia" w:ascii="黑体" w:hAnsi="黑体" w:eastAsia="黑体" w:cs="黑体"/>
          <w:b w:val="0"/>
          <w:bCs w:val="0"/>
          <w:sz w:val="32"/>
          <w:szCs w:val="32"/>
        </w:rPr>
        <w:t>一、统一部署，优化政策</w:t>
      </w:r>
    </w:p>
    <w:p>
      <w:pPr>
        <w:keepNext w:val="0"/>
        <w:keepLines w:val="0"/>
        <w:pageBreakBefore w:val="0"/>
        <w:widowControl w:val="0"/>
        <w:kinsoku/>
        <w:overflowPunct/>
        <w:topLinePunct w:val="0"/>
        <w:autoSpaceDE/>
        <w:autoSpaceDN/>
        <w:bidi w:val="0"/>
        <w:adjustRightInd/>
        <w:snapToGrid/>
        <w:spacing w:line="500" w:lineRule="exact"/>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因</w:t>
      </w:r>
      <w:r>
        <w:rPr>
          <w:rFonts w:hint="eastAsia" w:ascii="仿宋_GB2312" w:eastAsia="仿宋_GB2312"/>
          <w:sz w:val="32"/>
          <w:szCs w:val="32"/>
          <w:lang w:eastAsia="zh-CN"/>
        </w:rPr>
        <w:t>多种</w:t>
      </w:r>
      <w:r>
        <w:rPr>
          <w:rFonts w:hint="eastAsia" w:ascii="仿宋_GB2312" w:eastAsia="仿宋_GB2312"/>
          <w:sz w:val="32"/>
          <w:szCs w:val="32"/>
        </w:rPr>
        <w:t>原因，太湖县荒山</w:t>
      </w:r>
      <w:r>
        <w:rPr>
          <w:rFonts w:hint="eastAsia" w:ascii="仿宋_GB2312" w:eastAsia="仿宋_GB2312"/>
          <w:sz w:val="32"/>
          <w:szCs w:val="32"/>
          <w:lang w:eastAsia="zh-CN"/>
        </w:rPr>
        <w:t>存量</w:t>
      </w:r>
      <w:r>
        <w:rPr>
          <w:rFonts w:hint="eastAsia" w:ascii="仿宋_GB2312" w:eastAsia="仿宋_GB2312"/>
          <w:sz w:val="32"/>
          <w:szCs w:val="32"/>
        </w:rPr>
        <w:t>面积在全市乃至全省都是最大的。为积极消灭大面积荒山，县委县政府统一部署，对林业产业扶持政策和激励措施进行了5个方面的调整和优化，包括对新发展毛竹成片50亩以上的补助1000元/亩，对新发展油茶、杉木、国外松及经果林成片50亩以上的补助500元/亩等，使太湖县消灭荒山取得了巨大成绩。</w:t>
      </w:r>
    </w:p>
    <w:p>
      <w:pPr>
        <w:keepNext w:val="0"/>
        <w:keepLines w:val="0"/>
        <w:pageBreakBefore w:val="0"/>
        <w:widowControl w:val="0"/>
        <w:kinsoku/>
        <w:overflowPunct/>
        <w:topLinePunct w:val="0"/>
        <w:autoSpaceDE/>
        <w:autoSpaceDN/>
        <w:bidi w:val="0"/>
        <w:adjustRightInd/>
        <w:snapToGrid/>
        <w:spacing w:line="500" w:lineRule="exact"/>
        <w:ind w:right="0" w:rightChars="0" w:firstLine="640" w:firstLineChars="200"/>
        <w:textAlignment w:val="auto"/>
        <w:outlineLvl w:val="9"/>
        <w:rPr>
          <w:rFonts w:hint="eastAsia" w:ascii="黑体" w:hAnsi="黑体" w:eastAsia="黑体" w:cs="黑体"/>
          <w:sz w:val="32"/>
          <w:szCs w:val="32"/>
        </w:rPr>
      </w:pPr>
      <w:r>
        <w:rPr>
          <w:rFonts w:hint="eastAsia" w:ascii="黑体" w:hAnsi="黑体" w:eastAsia="黑体" w:cs="黑体"/>
          <w:sz w:val="32"/>
          <w:szCs w:val="32"/>
        </w:rPr>
        <w:t>二、积极行动，整合资金</w:t>
      </w:r>
    </w:p>
    <w:p>
      <w:pPr>
        <w:keepNext w:val="0"/>
        <w:keepLines w:val="0"/>
        <w:pageBreakBefore w:val="0"/>
        <w:widowControl w:val="0"/>
        <w:kinsoku/>
        <w:overflowPunct/>
        <w:topLinePunct w:val="0"/>
        <w:autoSpaceDE/>
        <w:autoSpaceDN/>
        <w:bidi w:val="0"/>
        <w:adjustRightInd/>
        <w:snapToGrid/>
        <w:spacing w:line="500" w:lineRule="exact"/>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在积极消灭芭茅山的同时，我局一直就林区生产道路积极向省林业厅和县委县政府汇报，并结合新造林实际情况积极开展林区道路建设工作，但林业项目上没有专门的林区道路建设资金。</w:t>
      </w:r>
    </w:p>
    <w:p>
      <w:pPr>
        <w:keepNext w:val="0"/>
        <w:keepLines w:val="0"/>
        <w:pageBreakBefore w:val="0"/>
        <w:widowControl w:val="0"/>
        <w:kinsoku/>
        <w:overflowPunct/>
        <w:topLinePunct w:val="0"/>
        <w:autoSpaceDE/>
        <w:autoSpaceDN/>
        <w:bidi w:val="0"/>
        <w:adjustRightInd/>
        <w:snapToGrid/>
        <w:spacing w:line="500" w:lineRule="exact"/>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针对上述情况，</w:t>
      </w:r>
      <w:r>
        <w:rPr>
          <w:rFonts w:hint="eastAsia" w:ascii="仿宋_GB2312" w:eastAsia="仿宋_GB2312"/>
          <w:sz w:val="32"/>
          <w:szCs w:val="32"/>
          <w:lang w:eastAsia="zh-CN"/>
        </w:rPr>
        <w:t>我局</w:t>
      </w:r>
      <w:r>
        <w:rPr>
          <w:rFonts w:hint="eastAsia" w:ascii="仿宋_GB2312" w:eastAsia="仿宋_GB2312"/>
          <w:sz w:val="32"/>
          <w:szCs w:val="32"/>
        </w:rPr>
        <w:t>一是积极向省林业厅和县委县政府汇报林区道路建设的重要性和必要性，争取上级林业主管部门和县委县政府的高度重视。2018年省政府已经对林区道路建设开展调查摸底工作，我</w:t>
      </w:r>
      <w:r>
        <w:rPr>
          <w:rFonts w:hint="eastAsia" w:ascii="仿宋_GB2312" w:eastAsia="仿宋_GB2312"/>
          <w:sz w:val="32"/>
          <w:szCs w:val="32"/>
          <w:lang w:eastAsia="zh-CN"/>
        </w:rPr>
        <w:t>局</w:t>
      </w:r>
      <w:r>
        <w:rPr>
          <w:rFonts w:hint="eastAsia" w:ascii="仿宋_GB2312" w:eastAsia="仿宋_GB2312"/>
          <w:sz w:val="32"/>
          <w:szCs w:val="32"/>
        </w:rPr>
        <w:t>向省林业厅初步申报2250公里的林区道路任务。二是积极争取县政府整合资金，安排一定数量的资金投入林区道路建设。三是我县少数乡镇（如天华镇、刘畈乡、牛镇镇、寺前镇等）已经在整合各类项目资金，对林区道路进行必要的投入，同时对道路进行硬化。四是开展一系列的新造林连续四年的抚育管理工作，通过省级森林抚育示范片（启动点）项目，对新造未成林的林分积极开展一系列抚育管理措施，防止造林不见林，防止出现新的荒山。五是林下经济活动正在有序的开展，通过套种茶叶、中药材（覆盆子、板蓝根等）、林下套养菌类及林下养殖等。</w:t>
      </w:r>
      <w:bookmarkStart w:id="0" w:name="_GoBack"/>
      <w:bookmarkEnd w:id="0"/>
    </w:p>
    <w:p>
      <w:pPr>
        <w:keepNext w:val="0"/>
        <w:keepLines w:val="0"/>
        <w:pageBreakBefore w:val="0"/>
        <w:widowControl w:val="0"/>
        <w:kinsoku/>
        <w:overflowPunct/>
        <w:topLinePunct w:val="0"/>
        <w:autoSpaceDE/>
        <w:autoSpaceDN/>
        <w:bidi w:val="0"/>
        <w:adjustRightInd/>
        <w:snapToGrid/>
        <w:spacing w:line="500" w:lineRule="exact"/>
        <w:ind w:right="0" w:rightChars="0" w:firstLine="640" w:firstLineChars="200"/>
        <w:textAlignment w:val="auto"/>
        <w:outlineLvl w:val="9"/>
        <w:rPr>
          <w:rFonts w:hint="eastAsia" w:ascii="仿宋_GB2312" w:eastAsia="仿宋_GB2312"/>
          <w:sz w:val="32"/>
          <w:szCs w:val="32"/>
        </w:rPr>
      </w:pPr>
      <w:r>
        <w:rPr>
          <w:sz w:val="32"/>
        </w:rPr>
        <w:drawing>
          <wp:anchor distT="0" distB="0" distL="114300" distR="114300" simplePos="0" relativeHeight="251658240" behindDoc="0" locked="0" layoutInCell="1" allowOverlap="1">
            <wp:simplePos x="0" y="0"/>
            <wp:positionH relativeFrom="page">
              <wp:posOffset>4117975</wp:posOffset>
            </wp:positionH>
            <wp:positionV relativeFrom="page">
              <wp:posOffset>7804150</wp:posOffset>
            </wp:positionV>
            <wp:extent cx="1487170" cy="1499870"/>
            <wp:effectExtent l="0" t="0" r="17780" b="5080"/>
            <wp:wrapNone/>
            <wp:docPr id="1" name="图片 1" descr="用户:&#10;时间:2018-04-27 11:02:24&#10;印章:太湖县林业局&#10;使用者:林业局&#10;标识:8C7BD2ADA7DDD1DF6A25009C42E47C8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用户:&#10;时间:2018-04-27 11:02:24&#10;印章:太湖县林业局&#10;使用者:林业局&#10;标识:8C7BD2ADA7DDD1DF6A25009C42E47C8B"/>
                    <pic:cNvPicPr>
                      <a:picLocks noChangeAspect="1"/>
                    </pic:cNvPicPr>
                  </pic:nvPicPr>
                  <pic:blipFill>
                    <a:blip r:embed="rId4">
                      <a:clrChange>
                        <a:clrFrom>
                          <a:srgbClr val="FFFFFF"/>
                        </a:clrFrom>
                        <a:clrTo>
                          <a:srgbClr val="FFFFFF">
                            <a:alpha val="0"/>
                          </a:srgbClr>
                        </a:clrTo>
                      </a:clrChange>
                    </a:blip>
                    <a:stretch>
                      <a:fillRect/>
                    </a:stretch>
                  </pic:blipFill>
                  <pic:spPr>
                    <a:xfrm>
                      <a:off x="0" y="0"/>
                      <a:ext cx="1487170" cy="1499870"/>
                    </a:xfrm>
                    <a:prstGeom prst="rect">
                      <a:avLst/>
                    </a:prstGeom>
                  </pic:spPr>
                </pic:pic>
              </a:graphicData>
            </a:graphic>
          </wp:anchor>
        </w:drawing>
      </w:r>
      <w:r>
        <w:rPr>
          <w:rFonts w:hint="eastAsia" w:ascii="仿宋_GB2312" w:eastAsia="仿宋_GB2312"/>
          <w:sz w:val="32"/>
          <w:szCs w:val="32"/>
          <w:lang w:eastAsia="zh-CN"/>
        </w:rPr>
        <w:t>非常</w:t>
      </w:r>
      <w:r>
        <w:rPr>
          <w:rFonts w:hint="eastAsia" w:ascii="仿宋_GB2312" w:eastAsia="仿宋_GB2312"/>
          <w:sz w:val="32"/>
          <w:szCs w:val="32"/>
        </w:rPr>
        <w:t>感谢您</w:t>
      </w:r>
      <w:r>
        <w:rPr>
          <w:rFonts w:hint="eastAsia" w:ascii="仿宋_GB2312" w:eastAsia="仿宋_GB2312"/>
          <w:sz w:val="32"/>
          <w:szCs w:val="32"/>
          <w:lang w:eastAsia="zh-CN"/>
        </w:rPr>
        <w:t>对我县林业工作的</w:t>
      </w:r>
      <w:r>
        <w:rPr>
          <w:rFonts w:hint="eastAsia" w:ascii="仿宋_GB2312" w:eastAsia="仿宋_GB2312"/>
          <w:sz w:val="32"/>
          <w:szCs w:val="32"/>
        </w:rPr>
        <w:t>关心</w:t>
      </w:r>
      <w:r>
        <w:rPr>
          <w:rFonts w:hint="eastAsia" w:ascii="仿宋_GB2312" w:eastAsia="仿宋_GB2312"/>
          <w:sz w:val="32"/>
          <w:szCs w:val="32"/>
          <w:lang w:eastAsia="zh-CN"/>
        </w:rPr>
        <w:t>，并请</w:t>
      </w:r>
      <w:r>
        <w:rPr>
          <w:rFonts w:hint="eastAsia" w:ascii="仿宋_GB2312" w:eastAsia="仿宋_GB2312"/>
          <w:sz w:val="32"/>
          <w:szCs w:val="32"/>
        </w:rPr>
        <w:t>您一如既往地关注和支持林业事业的发展，继续帮助我</w:t>
      </w:r>
      <w:r>
        <w:rPr>
          <w:rFonts w:hint="eastAsia" w:ascii="仿宋_GB2312" w:eastAsia="仿宋_GB2312"/>
          <w:sz w:val="32"/>
          <w:szCs w:val="32"/>
          <w:lang w:eastAsia="zh-CN"/>
        </w:rPr>
        <w:t>县</w:t>
      </w:r>
      <w:r>
        <w:rPr>
          <w:rFonts w:hint="eastAsia" w:ascii="仿宋_GB2312" w:eastAsia="仿宋_GB2312"/>
          <w:sz w:val="32"/>
          <w:szCs w:val="32"/>
        </w:rPr>
        <w:t xml:space="preserve">努力争取林业新政策、把握新机遇，促进全县林业绿色健康发展。 </w:t>
      </w:r>
    </w:p>
    <w:p>
      <w:pPr>
        <w:keepNext w:val="0"/>
        <w:keepLines w:val="0"/>
        <w:pageBreakBefore w:val="0"/>
        <w:widowControl w:val="0"/>
        <w:kinsoku/>
        <w:overflowPunct/>
        <w:topLinePunct w:val="0"/>
        <w:autoSpaceDE/>
        <w:autoSpaceDN/>
        <w:bidi w:val="0"/>
        <w:adjustRightInd/>
        <w:snapToGrid/>
        <w:spacing w:line="500" w:lineRule="exact"/>
        <w:ind w:right="0" w:rightChars="0" w:firstLine="640" w:firstLineChars="200"/>
        <w:textAlignment w:val="auto"/>
        <w:outlineLvl w:val="9"/>
        <w:rPr>
          <w:rFonts w:hint="eastAsia" w:ascii="仿宋_GB2312" w:eastAsia="仿宋_GB2312"/>
          <w:sz w:val="32"/>
          <w:szCs w:val="32"/>
        </w:rPr>
      </w:pPr>
    </w:p>
    <w:p>
      <w:pPr>
        <w:keepNext w:val="0"/>
        <w:keepLines w:val="0"/>
        <w:pageBreakBefore w:val="0"/>
        <w:widowControl w:val="0"/>
        <w:kinsoku/>
        <w:overflowPunct/>
        <w:topLinePunct w:val="0"/>
        <w:autoSpaceDE/>
        <w:autoSpaceDN/>
        <w:bidi w:val="0"/>
        <w:adjustRightInd/>
        <w:snapToGrid/>
        <w:spacing w:line="500" w:lineRule="exact"/>
        <w:ind w:right="0" w:rightChars="0"/>
        <w:jc w:val="center"/>
        <w:textAlignment w:val="auto"/>
        <w:outlineLvl w:val="9"/>
        <w:rPr>
          <w:rFonts w:ascii="仿宋_GB2312" w:eastAsia="仿宋_GB2312"/>
          <w:sz w:val="32"/>
          <w:szCs w:val="32"/>
        </w:rPr>
      </w:pPr>
      <w:r>
        <w:rPr>
          <w:rFonts w:hint="eastAsia" w:ascii="仿宋_GB2312" w:eastAsia="仿宋_GB2312"/>
          <w:sz w:val="32"/>
          <w:szCs w:val="32"/>
        </w:rPr>
        <w:t xml:space="preserve">                  </w:t>
      </w:r>
      <w:r>
        <w:rPr>
          <w:rFonts w:hint="eastAsia" w:ascii="仿宋_GB2312" w:eastAsia="仿宋_GB2312"/>
          <w:sz w:val="32"/>
          <w:szCs w:val="32"/>
          <w:lang w:val="en-US" w:eastAsia="zh-CN"/>
        </w:rPr>
        <w:t xml:space="preserve"> </w:t>
      </w:r>
      <w:r>
        <w:rPr>
          <w:rFonts w:hint="eastAsia" w:ascii="仿宋_GB2312" w:eastAsia="仿宋_GB2312"/>
          <w:sz w:val="32"/>
          <w:szCs w:val="32"/>
        </w:rPr>
        <w:t xml:space="preserve"> </w:t>
      </w:r>
      <w:r>
        <w:rPr>
          <w:rFonts w:hint="eastAsia" w:ascii="仿宋_GB2312" w:eastAsia="仿宋_GB2312"/>
          <w:sz w:val="32"/>
          <w:szCs w:val="32"/>
          <w:lang w:eastAsia="zh-CN"/>
        </w:rPr>
        <w:t>太湖县林业</w:t>
      </w:r>
      <w:r>
        <w:rPr>
          <w:rFonts w:hint="eastAsia" w:ascii="仿宋_GB2312" w:eastAsia="仿宋_GB2312"/>
          <w:sz w:val="32"/>
          <w:szCs w:val="32"/>
        </w:rPr>
        <w:t>局</w:t>
      </w:r>
    </w:p>
    <w:p>
      <w:pPr>
        <w:keepNext w:val="0"/>
        <w:keepLines w:val="0"/>
        <w:pageBreakBefore w:val="0"/>
        <w:widowControl w:val="0"/>
        <w:kinsoku/>
        <w:wordWrap w:val="0"/>
        <w:overflowPunct/>
        <w:topLinePunct w:val="0"/>
        <w:autoSpaceDE/>
        <w:autoSpaceDN/>
        <w:bidi w:val="0"/>
        <w:adjustRightInd/>
        <w:snapToGrid/>
        <w:spacing w:line="500" w:lineRule="exact"/>
        <w:ind w:right="0" w:rightChars="0"/>
        <w:jc w:val="right"/>
        <w:textAlignment w:val="auto"/>
        <w:outlineLvl w:val="9"/>
        <w:rPr>
          <w:rFonts w:hint="eastAsia" w:ascii="仿宋_GB2312" w:eastAsia="仿宋_GB2312"/>
          <w:sz w:val="32"/>
          <w:szCs w:val="32"/>
        </w:rPr>
      </w:pPr>
      <w:r>
        <w:rPr>
          <w:rFonts w:hint="eastAsia" w:ascii="仿宋_GB2312" w:eastAsia="仿宋_GB2312"/>
          <w:sz w:val="32"/>
          <w:szCs w:val="32"/>
          <w:lang w:val="en-US" w:eastAsia="zh-CN"/>
        </w:rPr>
        <w:t>2018</w:t>
      </w:r>
      <w:r>
        <w:rPr>
          <w:rFonts w:hint="eastAsia" w:ascii="仿宋_GB2312" w:eastAsia="仿宋_GB2312"/>
          <w:sz w:val="32"/>
          <w:szCs w:val="32"/>
        </w:rPr>
        <w:t>年</w:t>
      </w:r>
      <w:r>
        <w:rPr>
          <w:rFonts w:hint="eastAsia" w:ascii="仿宋_GB2312" w:eastAsia="仿宋_GB2312"/>
          <w:sz w:val="32"/>
          <w:szCs w:val="32"/>
          <w:lang w:val="en-US" w:eastAsia="zh-CN"/>
        </w:rPr>
        <w:t>4</w:t>
      </w:r>
      <w:r>
        <w:rPr>
          <w:rFonts w:hint="eastAsia" w:ascii="仿宋_GB2312" w:eastAsia="仿宋_GB2312"/>
          <w:sz w:val="32"/>
          <w:szCs w:val="32"/>
        </w:rPr>
        <w:t>月</w:t>
      </w:r>
      <w:r>
        <w:rPr>
          <w:rFonts w:hint="eastAsia" w:ascii="仿宋_GB2312" w:eastAsia="仿宋_GB2312"/>
          <w:sz w:val="32"/>
          <w:szCs w:val="32"/>
          <w:lang w:val="en-US" w:eastAsia="zh-CN"/>
        </w:rPr>
        <w:t>25</w:t>
      </w:r>
      <w:r>
        <w:rPr>
          <w:rFonts w:hint="eastAsia" w:ascii="仿宋_GB2312" w:eastAsia="仿宋_GB2312"/>
          <w:sz w:val="32"/>
          <w:szCs w:val="32"/>
        </w:rPr>
        <w:t xml:space="preserve">日         </w:t>
      </w:r>
    </w:p>
    <w:p>
      <w:pPr>
        <w:keepNext w:val="0"/>
        <w:keepLines w:val="0"/>
        <w:pageBreakBefore w:val="0"/>
        <w:widowControl w:val="0"/>
        <w:kinsoku/>
        <w:overflowPunct/>
        <w:topLinePunct w:val="0"/>
        <w:autoSpaceDE/>
        <w:autoSpaceDN/>
        <w:bidi w:val="0"/>
        <w:adjustRightInd/>
        <w:snapToGrid/>
        <w:spacing w:line="500" w:lineRule="exact"/>
        <w:ind w:right="0" w:rightChars="0" w:firstLine="6560" w:firstLineChars="2050"/>
        <w:textAlignment w:val="auto"/>
        <w:outlineLvl w:val="9"/>
        <w:rPr>
          <w:rFonts w:hint="eastAsia" w:ascii="仿宋_GB2312" w:eastAsia="仿宋_GB2312"/>
          <w:sz w:val="32"/>
          <w:szCs w:val="32"/>
        </w:rPr>
      </w:pPr>
    </w:p>
    <w:p>
      <w:pPr>
        <w:keepNext w:val="0"/>
        <w:keepLines w:val="0"/>
        <w:pageBreakBefore w:val="0"/>
        <w:widowControl w:val="0"/>
        <w:kinsoku/>
        <w:overflowPunct/>
        <w:topLinePunct w:val="0"/>
        <w:autoSpaceDE/>
        <w:autoSpaceDN/>
        <w:bidi w:val="0"/>
        <w:adjustRightInd/>
        <w:snapToGrid/>
        <w:spacing w:line="500" w:lineRule="exact"/>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联系人：</w:t>
      </w:r>
      <w:r>
        <w:rPr>
          <w:rFonts w:hint="eastAsia" w:ascii="仿宋_GB2312" w:eastAsia="仿宋_GB2312"/>
          <w:sz w:val="32"/>
          <w:szCs w:val="32"/>
          <w:lang w:eastAsia="zh-CN"/>
        </w:rPr>
        <w:t>张院生</w:t>
      </w:r>
      <w:r>
        <w:rPr>
          <w:rFonts w:hint="eastAsia" w:ascii="仿宋_GB2312" w:eastAsia="仿宋_GB2312"/>
          <w:sz w:val="32"/>
          <w:szCs w:val="32"/>
        </w:rPr>
        <w:t xml:space="preserve">        </w:t>
      </w:r>
      <w:r>
        <w:rPr>
          <w:rFonts w:hint="eastAsia" w:ascii="仿宋_GB2312" w:eastAsia="仿宋_GB2312"/>
          <w:sz w:val="32"/>
          <w:szCs w:val="32"/>
          <w:lang w:val="en-US" w:eastAsia="zh-CN"/>
        </w:rPr>
        <w:t xml:space="preserve">    </w:t>
      </w:r>
      <w:r>
        <w:rPr>
          <w:rFonts w:hint="eastAsia" w:ascii="仿宋_GB2312" w:eastAsia="仿宋_GB2312"/>
          <w:sz w:val="32"/>
          <w:szCs w:val="32"/>
        </w:rPr>
        <w:t>联系电话：</w:t>
      </w:r>
      <w:r>
        <w:rPr>
          <w:rFonts w:hint="eastAsia" w:ascii="仿宋_GB2312" w:eastAsia="仿宋_GB2312"/>
          <w:sz w:val="32"/>
          <w:szCs w:val="32"/>
          <w:lang w:val="en-US" w:eastAsia="zh-CN"/>
        </w:rPr>
        <w:t>4160130</w:t>
      </w:r>
    </w:p>
    <w:p>
      <w:pPr>
        <w:keepNext w:val="0"/>
        <w:keepLines w:val="0"/>
        <w:pageBreakBefore w:val="0"/>
        <w:widowControl w:val="0"/>
        <w:kinsoku/>
        <w:overflowPunct/>
        <w:topLinePunct w:val="0"/>
        <w:autoSpaceDE/>
        <w:autoSpaceDN/>
        <w:bidi w:val="0"/>
        <w:adjustRightInd/>
        <w:snapToGrid/>
        <w:spacing w:line="500" w:lineRule="exact"/>
        <w:ind w:left="931" w:right="0" w:rightChars="0" w:hanging="931" w:hangingChars="291"/>
        <w:textAlignment w:val="auto"/>
        <w:outlineLvl w:val="9"/>
        <w:rPr>
          <w:rFonts w:hint="eastAsia" w:ascii="仿宋_GB2312" w:eastAsia="仿宋_GB2312"/>
          <w:sz w:val="32"/>
          <w:szCs w:val="32"/>
        </w:rPr>
      </w:pPr>
    </w:p>
    <w:p>
      <w:pPr>
        <w:keepNext w:val="0"/>
        <w:keepLines w:val="0"/>
        <w:pageBreakBefore w:val="0"/>
        <w:widowControl w:val="0"/>
        <w:kinsoku/>
        <w:overflowPunct/>
        <w:topLinePunct w:val="0"/>
        <w:autoSpaceDE/>
        <w:autoSpaceDN/>
        <w:bidi w:val="0"/>
        <w:adjustRightInd/>
        <w:snapToGrid/>
        <w:spacing w:line="500" w:lineRule="exact"/>
        <w:ind w:left="931" w:right="0" w:rightChars="0" w:hanging="931" w:hangingChars="291"/>
        <w:textAlignment w:val="auto"/>
        <w:outlineLvl w:val="9"/>
      </w:pPr>
      <w:r>
        <w:rPr>
          <w:rFonts w:hint="eastAsia" w:ascii="仿宋_GB2312" w:eastAsia="仿宋_GB2312"/>
          <w:sz w:val="32"/>
          <w:szCs w:val="32"/>
        </w:rPr>
        <w:t>抄送：县人大代表联络办公室、县政府督查室，</w:t>
      </w:r>
      <w:r>
        <w:rPr>
          <w:rFonts w:hint="eastAsia" w:ascii="仿宋_GB2312" w:eastAsia="仿宋_GB2312"/>
          <w:sz w:val="32"/>
          <w:szCs w:val="32"/>
          <w:lang w:eastAsia="zh-CN"/>
        </w:rPr>
        <w:t>汤泉乡</w:t>
      </w:r>
      <w:r>
        <w:rPr>
          <w:rFonts w:hint="eastAsia" w:ascii="仿宋_GB2312" w:eastAsia="仿宋_GB2312"/>
          <w:sz w:val="32"/>
          <w:szCs w:val="32"/>
        </w:rPr>
        <w:t>人大。</w:t>
      </w:r>
    </w:p>
    <w:sectPr>
      <w:pgSz w:w="11906" w:h="16838"/>
      <w:pgMar w:top="1417" w:right="1531" w:bottom="1417"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方正小标宋简体">
    <w:panose1 w:val="02010601030101010101"/>
    <w:charset w:val="86"/>
    <w:family w:val="script"/>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MS PGothic">
    <w:panose1 w:val="020B0600070205080204"/>
    <w:charset w:val="80"/>
    <w:family w:val="swiss"/>
    <w:pitch w:val="default"/>
    <w:sig w:usb0="E00002FF" w:usb1="6AC7FDFB" w:usb2="00000012"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CB3249"/>
    <w:rsid w:val="02F172C0"/>
    <w:rsid w:val="03E82BAE"/>
    <w:rsid w:val="0A8A7036"/>
    <w:rsid w:val="0C530350"/>
    <w:rsid w:val="1CD52356"/>
    <w:rsid w:val="24881C10"/>
    <w:rsid w:val="329E32AD"/>
    <w:rsid w:val="36730D9B"/>
    <w:rsid w:val="38DC4F04"/>
    <w:rsid w:val="4EBF7343"/>
    <w:rsid w:val="4FCB3249"/>
    <w:rsid w:val="6396247C"/>
    <w:rsid w:val="68464B26"/>
    <w:rsid w:val="6A6A2AE9"/>
    <w:rsid w:val="6F984E84"/>
    <w:rsid w:val="70217B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2018-04-26T00:14:00Z</dcterms:created>
  <dc:creator>周  蓉</dc:creator>
  <cp:lastModifiedBy>周  蓉</cp:lastModifiedBy>
  <cp:lastPrinted>2018-04-27T03:19:00Z</cp:lastPrinted>
  <dcterms:modified xsi:type="dcterms:W3CDTF">2018-04-27T06:53:17Z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