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0" w:firstLineChars="20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办理结果：B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宋体" w:hAnsi="宋体"/>
          <w:b/>
          <w:color w:val="FF0000"/>
          <w:w w:val="85"/>
          <w:sz w:val="36"/>
          <w:szCs w:val="36"/>
        </w:rPr>
        <w:pict>
          <v:shape id="_x0000_i1025" o:spt="136" type="#_x0000_t136" style="height:74.4pt;width:406.3pt;" fillcolor="#FF0000" filled="t" stroked="t" coordsize="21600,21600" adj="10800">
            <v:path/>
            <v:fill on="t" color2="#FFFFFF" focussize="0,0"/>
            <v:stroke weight="2pt" color="#FF0000"/>
            <v:imagedata o:title=""/>
            <o:lock v:ext="edit" aspectratio="f"/>
            <v:textpath on="t" fitshape="t" fitpath="t" trim="t" xscale="f" string="太湖县水产局文件" style="font-family:宋体;font-size:54pt;font-weight:bold;v-rotate-letters:f;v-same-letter-heights:f;v-text-align:center;"/>
            <w10:wrap type="none"/>
            <w10:anchorlock/>
          </v:shape>
        </w:pic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太渔字〔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43号                    签发人：陈焱群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FF0000"/>
          <w:w w:val="70"/>
          <w:sz w:val="110"/>
          <w:szCs w:val="11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-218440</wp:posOffset>
                </wp:positionH>
                <wp:positionV relativeFrom="page">
                  <wp:posOffset>4091940</wp:posOffset>
                </wp:positionV>
                <wp:extent cx="5686425" cy="0"/>
                <wp:effectExtent l="0" t="28575" r="9525" b="2857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6425" cy="0"/>
                        </a:xfrm>
                        <a:prstGeom prst="straightConnector1">
                          <a:avLst/>
                        </a:prstGeom>
                        <a:ln w="571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7.2pt;margin-top:322.2pt;height:0pt;width:447.75pt;mso-position-vertical-relative:page;z-index:251658240;mso-width-relative:page;mso-height-relative:page;" filled="f" stroked="t" coordsize="21600,21600" o:gfxdata="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KPQEdYAAAAL&#10;AQAADwAAAAAAAAABACAAAAAiAAAAZHJzL2Rvd25yZXYueG1sUEsBAhQAFAAAAAgAh07iQFjo/EXl&#10;AQAAnwMAAA4AAAAAAAAAAQAgAAAAJQEAAGRycy9lMm9Eb2MueG1sUEsFBgAAAAAGAAYAWQEAAHwF&#10;AAAAAA==&#10;">
                <v:fill on="f" focussize="0,0"/>
                <v:stroke weight="4.5pt" color="#FF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关于对县十六届人大第二次会议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第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002号建议的答复</w:t>
      </w: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查刘洋、黄卢根代表：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您提出的“关于禁止电瓶、毒药非法捕鱼行为的建议”收悉，建议切中要害，非常及时，非常必要。接到建议办理任务后，我局迅速召开专题会议，主要领导亲自过问，分管领导和渔政站具体落实，现答复如下：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电、毒、炸鱼等违法行为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严重破坏了渔业资源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水域生态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环境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威胁了</w:t>
      </w:r>
      <w:r>
        <w:rPr>
          <w:rFonts w:hint="eastAsia" w:ascii="仿宋_GB2312" w:hAnsi="仿宋_GB2312" w:eastAsia="仿宋_GB2312" w:cs="仿宋_GB2312"/>
          <w:sz w:val="32"/>
          <w:szCs w:val="32"/>
        </w:rPr>
        <w:t>水生野生保护物种的生存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，侵犯了渔民合法权益，扰乱了社会经济秩序，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危害了人民群众生命安全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长期以来，县水产局高度重视电、毒、炸鱼等违法行为工作的有效查处和严厉打击，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但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近年来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仍屡禁不止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花亭湖水域、</w:t>
      </w:r>
    </w:p>
    <w:p>
      <w:pPr>
        <w:pStyle w:val="4"/>
        <w:spacing w:before="0" w:beforeAutospacing="0" w:after="0" w:afterAutospacing="0" w:line="24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长河流域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一些重点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镇，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电、毒鱼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行为有所反弹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。为此，我局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迅速推进，强势执法，对电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、毒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等违法行为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持续高压严打态势，除正常巡查外，多次组织打击电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、毒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等违法行为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专项整治行动，对电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、毒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等违法行为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露头就打，在打击过程中，敢于动真碰硬，敢于一抓到底，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做了以下方面的工作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收到了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良好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的效果。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一、制定工作方案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为</w:t>
      </w:r>
      <w:r>
        <w:rPr>
          <w:rFonts w:hint="eastAsia" w:ascii="仿宋_GB2312" w:hAnsi="微软雅黑" w:eastAsia="仿宋_GB2312"/>
          <w:sz w:val="32"/>
          <w:szCs w:val="32"/>
        </w:rPr>
        <w:t>保护全县渔业资源和生态环境，促进渔业经济持续健康发展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/>
          <w:sz w:val="32"/>
          <w:szCs w:val="32"/>
        </w:rPr>
        <w:t>按照“政府主导、各级联动、部门协同、群众参与、齐抓共管”的方针，层层建立责任制，创新渔政管理体制，构建长效管理机制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制定了《太湖县严厉打击电、毒、炸鱼等违法行为工作方案》，2018年 4月 4日由县政府办组织，主持召开了15个乡镇和20家相关部门领导参加的太湖县严厉打击电、毒、炸鱼等违法行为工作会议， 5月24日县政府出台了《关于印发太湖县严厉打击电、毒、炸鱼等违法行为工作方案的通知》（太政办秘〔2018〕57号）。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2、按照“分级管理、部门协作、标本兼治、突出重点”的原则，</w:t>
      </w:r>
      <w:r>
        <w:rPr>
          <w:rFonts w:hint="eastAsia" w:ascii="仿宋_GB2312" w:hAnsi="微软雅黑" w:eastAsia="仿宋_GB2312"/>
          <w:sz w:val="32"/>
          <w:szCs w:val="32"/>
        </w:rPr>
        <w:t>县政府成立</w:t>
      </w:r>
      <w:r>
        <w:rPr>
          <w:rFonts w:hint="eastAsia" w:ascii="仿宋_GB2312" w:eastAsia="仿宋_GB2312" w:cs="Helvetica"/>
          <w:sz w:val="32"/>
          <w:szCs w:val="32"/>
        </w:rPr>
        <w:t>严厉打击</w:t>
      </w:r>
      <w:r>
        <w:rPr>
          <w:rFonts w:hint="eastAsia" w:ascii="仿宋_GB2312" w:hAnsi="微软雅黑" w:eastAsia="仿宋_GB2312"/>
          <w:sz w:val="32"/>
          <w:szCs w:val="32"/>
        </w:rPr>
        <w:t>电、毒、炸鱼等违法行为工作领导小组，负责重大问题事项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的</w:t>
      </w:r>
      <w:r>
        <w:rPr>
          <w:rFonts w:hint="eastAsia" w:ascii="仿宋_GB2312" w:hAnsi="微软雅黑" w:eastAsia="仿宋_GB2312"/>
          <w:sz w:val="32"/>
          <w:szCs w:val="32"/>
        </w:rPr>
        <w:t>协商调度，县水产局负责牵头做好全县</w:t>
      </w:r>
      <w:r>
        <w:rPr>
          <w:rFonts w:hint="eastAsia" w:ascii="仿宋_GB2312" w:eastAsia="仿宋_GB2312" w:cs="Helvetica"/>
          <w:sz w:val="32"/>
          <w:szCs w:val="32"/>
        </w:rPr>
        <w:t>严厉打击</w:t>
      </w:r>
      <w:r>
        <w:rPr>
          <w:rFonts w:hint="eastAsia" w:ascii="仿宋_GB2312" w:hAnsi="微软雅黑" w:eastAsia="仿宋_GB2312"/>
          <w:sz w:val="32"/>
          <w:szCs w:val="32"/>
        </w:rPr>
        <w:t>电、毒、炸鱼</w:t>
      </w:r>
      <w:r>
        <w:rPr>
          <w:rFonts w:hint="eastAsia" w:ascii="仿宋_GB2312" w:eastAsia="仿宋_GB2312" w:cs="Helvetica"/>
          <w:sz w:val="32"/>
          <w:szCs w:val="32"/>
        </w:rPr>
        <w:t>等违法</w:t>
      </w:r>
      <w:r>
        <w:rPr>
          <w:rFonts w:hint="eastAsia" w:ascii="仿宋_GB2312" w:hAnsi="微软雅黑" w:eastAsia="仿宋_GB2312"/>
          <w:sz w:val="32"/>
          <w:szCs w:val="32"/>
        </w:rPr>
        <w:t>行为工作。各乡镇落实主体责任，公安、市场监管等部门支持配合各乡镇做好工作。探索渔政管理新思路，在治本上下功夫，着眼于严防严控、群防群治，从源头上早发现早制止，将电、毒、炸鱼等违法活动扼杀在萌芽状态。在打击方法上，实行“陆上严管严控，水上严查严打”两手抓，在全县水域全面打击电、毒、炸鱼</w:t>
      </w:r>
      <w:r>
        <w:rPr>
          <w:rFonts w:hint="eastAsia" w:ascii="仿宋_GB2312" w:eastAsia="仿宋_GB2312" w:cs="Helvetica"/>
          <w:sz w:val="32"/>
          <w:szCs w:val="32"/>
        </w:rPr>
        <w:t>等违法</w:t>
      </w:r>
      <w:r>
        <w:rPr>
          <w:rFonts w:hint="eastAsia" w:ascii="仿宋_GB2312" w:hAnsi="微软雅黑" w:eastAsia="仿宋_GB2312"/>
          <w:sz w:val="32"/>
          <w:szCs w:val="32"/>
        </w:rPr>
        <w:t>行为。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hint="eastAsia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3、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创新渔政管理机制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/>
          <w:sz w:val="32"/>
          <w:szCs w:val="32"/>
        </w:rPr>
        <w:t>实行属地管理。各乡镇、村强化监管责任，建立健全相关乡规、村规民约，加强对辖区内村民、渔民的教育管理。实行三级联动。县、乡镇、村三级联动，一级对一级负责，层层签订责任状。县政府督查室强化目标考核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/>
          <w:sz w:val="32"/>
          <w:szCs w:val="32"/>
        </w:rPr>
        <w:t>将打击电、毒、炸鱼工作纳入县目标管理绩效考核。强化工作督查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/>
          <w:sz w:val="32"/>
          <w:szCs w:val="32"/>
        </w:rPr>
        <w:t>对群众反映强烈、工作不力、监管不到位的乡镇、村予以通报批评。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二、明确工作内容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由</w:t>
      </w:r>
      <w:r>
        <w:rPr>
          <w:rFonts w:hint="eastAsia" w:ascii="仿宋_GB2312" w:hAnsi="微软雅黑" w:eastAsia="仿宋_GB2312"/>
          <w:sz w:val="32"/>
          <w:szCs w:val="32"/>
        </w:rPr>
        <w:t>县市场监管局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牵头，</w:t>
      </w:r>
      <w:r>
        <w:rPr>
          <w:rFonts w:hint="eastAsia" w:ascii="仿宋_GB2312" w:hAnsi="微软雅黑" w:eastAsia="仿宋_GB2312"/>
          <w:sz w:val="32"/>
          <w:szCs w:val="32"/>
        </w:rPr>
        <w:t>县公安局、各乡镇政府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落实，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严堵非法渔具购货渠道。</w:t>
      </w:r>
      <w:r>
        <w:rPr>
          <w:rFonts w:hint="eastAsia" w:ascii="仿宋_GB2312" w:hAnsi="微软雅黑" w:eastAsia="仿宋_GB2312"/>
          <w:sz w:val="32"/>
          <w:szCs w:val="32"/>
        </w:rPr>
        <w:t>排查摸清本县范围内</w:t>
      </w:r>
      <w:r>
        <w:rPr>
          <w:rFonts w:hint="eastAsia" w:ascii="仿宋_GB2312" w:hAnsi="微软雅黑" w:eastAsia="仿宋_GB2312"/>
          <w:bCs/>
          <w:sz w:val="32"/>
          <w:szCs w:val="32"/>
        </w:rPr>
        <w:t>非法</w:t>
      </w:r>
      <w:r>
        <w:rPr>
          <w:rFonts w:hint="eastAsia" w:ascii="仿宋_GB2312" w:hAnsi="微软雅黑" w:eastAsia="仿宋_GB2312"/>
          <w:sz w:val="32"/>
          <w:szCs w:val="32"/>
        </w:rPr>
        <w:t>制造、销售电鱼设备、毒鱼药物和爆炸物等非法渔具</w:t>
      </w:r>
      <w:r>
        <w:rPr>
          <w:rFonts w:hint="eastAsia" w:ascii="仿宋_GB2312" w:hAnsi="微软雅黑" w:eastAsia="仿宋_GB2312"/>
          <w:bCs/>
          <w:sz w:val="32"/>
          <w:szCs w:val="32"/>
        </w:rPr>
        <w:t>情况</w:t>
      </w:r>
      <w:r>
        <w:rPr>
          <w:rFonts w:hint="eastAsia" w:ascii="仿宋_GB2312" w:hAnsi="微软雅黑" w:eastAsia="仿宋_GB2312"/>
          <w:sz w:val="32"/>
          <w:szCs w:val="32"/>
        </w:rPr>
        <w:t>。依法取缔</w:t>
      </w:r>
      <w:r>
        <w:rPr>
          <w:rFonts w:hint="eastAsia" w:ascii="仿宋_GB2312" w:hAnsi="微软雅黑" w:eastAsia="仿宋_GB2312"/>
          <w:bCs/>
          <w:sz w:val="32"/>
          <w:szCs w:val="32"/>
        </w:rPr>
        <w:t>非法</w:t>
      </w:r>
      <w:r>
        <w:rPr>
          <w:rFonts w:hint="eastAsia" w:ascii="仿宋_GB2312" w:hAnsi="微软雅黑" w:eastAsia="仿宋_GB2312"/>
          <w:sz w:val="32"/>
          <w:szCs w:val="32"/>
        </w:rPr>
        <w:t>制造、销售电鱼设备、毒鱼药物、爆炸物工具和</w:t>
      </w:r>
      <w:r>
        <w:rPr>
          <w:rFonts w:hint="eastAsia" w:ascii="仿宋_GB2312" w:hAnsi="微软雅黑" w:eastAsia="仿宋_GB2312"/>
          <w:bCs/>
          <w:sz w:val="32"/>
          <w:szCs w:val="32"/>
        </w:rPr>
        <w:t>物品的摊点窝点</w:t>
      </w:r>
      <w:r>
        <w:rPr>
          <w:rFonts w:hint="eastAsia" w:ascii="仿宋_GB2312" w:hAnsi="微软雅黑" w:eastAsia="仿宋_GB2312"/>
          <w:bCs/>
          <w:sz w:val="32"/>
          <w:szCs w:val="32"/>
          <w:lang w:eastAsia="zh-CN"/>
        </w:rPr>
        <w:t>。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由</w:t>
      </w:r>
      <w:r>
        <w:rPr>
          <w:rFonts w:hint="eastAsia" w:ascii="仿宋_GB2312" w:hAnsi="微软雅黑" w:eastAsia="仿宋_GB2312"/>
          <w:sz w:val="32"/>
          <w:szCs w:val="32"/>
        </w:rPr>
        <w:t>各乡镇政府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牵头，</w:t>
      </w:r>
      <w:r>
        <w:rPr>
          <w:rFonts w:hint="eastAsia" w:ascii="仿宋_GB2312" w:hAnsi="微软雅黑" w:eastAsia="仿宋_GB2312"/>
          <w:sz w:val="32"/>
          <w:szCs w:val="32"/>
        </w:rPr>
        <w:t>县公安局、县水产局、县市场监管局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落实，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没收电鱼设备等非法渔具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_GB2312" w:hAnsi="微软雅黑" w:eastAsia="仿宋_GB2312"/>
          <w:sz w:val="32"/>
          <w:szCs w:val="32"/>
        </w:rPr>
        <w:t>在调查摸底的基础上，</w:t>
      </w:r>
      <w:r>
        <w:rPr>
          <w:rFonts w:hint="eastAsia" w:ascii="仿宋_GB2312" w:hAnsi="微软雅黑" w:eastAsia="仿宋_GB2312"/>
          <w:bCs/>
          <w:sz w:val="32"/>
          <w:szCs w:val="32"/>
        </w:rPr>
        <w:t>对持有电、毒、炸鱼等违法工具和物品者要求限期上缴，对非法私藏、安装的电鱼设备</w:t>
      </w:r>
      <w:r>
        <w:rPr>
          <w:rFonts w:hint="eastAsia" w:ascii="仿宋_GB2312" w:hAnsi="微软雅黑" w:eastAsia="仿宋_GB2312"/>
          <w:bCs/>
          <w:sz w:val="32"/>
          <w:szCs w:val="32"/>
          <w:lang w:eastAsia="zh-CN"/>
        </w:rPr>
        <w:t>（</w:t>
      </w:r>
      <w:r>
        <w:rPr>
          <w:rFonts w:hint="eastAsia" w:ascii="仿宋_GB2312" w:hAnsi="微软雅黑" w:eastAsia="仿宋_GB2312"/>
          <w:bCs/>
          <w:sz w:val="32"/>
          <w:szCs w:val="32"/>
        </w:rPr>
        <w:t>包括发电机、脉冲机、电瓶、升压器、电线、钢筋丝、电拖网等</w:t>
      </w:r>
      <w:r>
        <w:rPr>
          <w:rFonts w:hint="eastAsia" w:ascii="仿宋_GB2312" w:hAnsi="微软雅黑" w:eastAsia="仿宋_GB2312"/>
          <w:bCs/>
          <w:sz w:val="32"/>
          <w:szCs w:val="32"/>
          <w:lang w:eastAsia="zh-CN"/>
        </w:rPr>
        <w:t>）</w:t>
      </w:r>
      <w:r>
        <w:rPr>
          <w:rFonts w:hint="eastAsia" w:ascii="仿宋_GB2312" w:hAnsi="微软雅黑" w:eastAsia="仿宋_GB2312"/>
          <w:bCs/>
          <w:sz w:val="32"/>
          <w:szCs w:val="32"/>
        </w:rPr>
        <w:t>和毒鱼药物、爆炸物品依法销毁；对当事人进行教育，由当事人作出不再从事电、毒、炸鱼的书面承诺，形成浓厚监管氛围和打击、整治的高压态势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hint="eastAsia" w:ascii="仿宋_GB2312" w:hAnsi="微软雅黑" w:eastAsia="仿宋_GB2312"/>
          <w:sz w:val="32"/>
          <w:szCs w:val="32"/>
          <w:lang w:eastAsia="zh-CN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3、由</w:t>
      </w:r>
      <w:r>
        <w:rPr>
          <w:rFonts w:hint="eastAsia" w:ascii="仿宋_GB2312" w:hAnsi="微软雅黑" w:eastAsia="仿宋_GB2312"/>
          <w:sz w:val="32"/>
          <w:szCs w:val="32"/>
        </w:rPr>
        <w:t>县水产局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牵头，</w:t>
      </w:r>
      <w:r>
        <w:rPr>
          <w:rFonts w:hint="eastAsia" w:ascii="仿宋_GB2312" w:hAnsi="微软雅黑" w:eastAsia="仿宋_GB2312"/>
          <w:sz w:val="32"/>
          <w:szCs w:val="32"/>
        </w:rPr>
        <w:t>县公安局、县花管处、各乡镇政府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落实，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严查电、毒、炸鱼案件。</w:t>
      </w:r>
      <w:r>
        <w:rPr>
          <w:rFonts w:hint="eastAsia" w:ascii="仿宋_GB2312" w:hAnsi="微软雅黑" w:eastAsia="仿宋_GB2312"/>
          <w:sz w:val="32"/>
          <w:szCs w:val="32"/>
        </w:rPr>
        <w:t>加强全县水域巡查，加大打击力度。对非法捕捞的，依法没收非法捕捞工具</w:t>
      </w:r>
      <w:r>
        <w:rPr>
          <w:rFonts w:hint="eastAsia" w:ascii="仿宋_GB2312" w:hAnsi="微软雅黑" w:eastAsia="仿宋_GB2312"/>
          <w:bCs/>
          <w:sz w:val="32"/>
          <w:szCs w:val="32"/>
        </w:rPr>
        <w:t>并</w:t>
      </w:r>
      <w:r>
        <w:rPr>
          <w:rFonts w:hint="eastAsia" w:ascii="仿宋_GB2312" w:hAnsi="微软雅黑" w:eastAsia="仿宋_GB2312"/>
          <w:sz w:val="32"/>
          <w:szCs w:val="32"/>
        </w:rPr>
        <w:t>作出行政处罚；对构成犯罪的，移送公安部门依法追究其刑事责任；在禁渔期及禁渔区内进行非法捕捞的，依法从严查处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。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三、创新工作思路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宣传动员。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各乡镇及有关部门广泛宣传发动，通过电视、广播、网站、微信等媒体，利用标语、板报、宣传单、会议等各种形式，大力宣传渔业法律法规，营造工作的强大声势。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调查摸底。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各乡镇政府组织村、组干部开展辖区内清查摸底，掌握村民、渔民渔船从事电、毒、炸鱼情况，进行登记造册，建立管理台帐。县公安、市场监管等部门组成联合调查组，对城区及乡镇、村进行稽查，摸清非法制造、销售电鱼机、毒鱼药物和爆炸物窝点摊点的情况。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hint="eastAsia" w:ascii="仿宋_GB2312" w:hAnsi="微软雅黑" w:eastAsia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3、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全面整治。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县公安、市场监管等部门对非法制造、销售电鱼机、毒鱼药</w:t>
      </w:r>
      <w:r>
        <w:rPr>
          <w:rFonts w:hint="eastAsia" w:ascii="仿宋_GB2312" w:hAnsi="微软雅黑" w:eastAsia="仿宋_GB2312"/>
          <w:sz w:val="32"/>
          <w:szCs w:val="32"/>
        </w:rPr>
        <w:t>物和爆炸物的窝点、摊点依法进行查处。集中力量，加强对县内水域的巡查，开展执法检查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/>
          <w:sz w:val="32"/>
          <w:szCs w:val="32"/>
        </w:rPr>
        <w:t>依法查处非法电、毒、炸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鱼</w:t>
      </w:r>
      <w:r>
        <w:rPr>
          <w:rFonts w:hint="eastAsia" w:ascii="仿宋_GB2312" w:eastAsia="仿宋_GB2312" w:cs="Helvetica"/>
          <w:sz w:val="32"/>
          <w:szCs w:val="32"/>
        </w:rPr>
        <w:t>等违法</w:t>
      </w:r>
      <w:r>
        <w:rPr>
          <w:rFonts w:hint="eastAsia" w:ascii="仿宋_GB2312" w:hAnsi="微软雅黑" w:eastAsia="仿宋_GB2312"/>
          <w:sz w:val="32"/>
          <w:szCs w:val="32"/>
        </w:rPr>
        <w:t>行为。</w:t>
      </w:r>
    </w:p>
    <w:p>
      <w:pPr>
        <w:pStyle w:val="4"/>
        <w:spacing w:before="0" w:beforeAutospacing="0" w:after="0" w:afterAutospacing="0" w:line="240" w:lineRule="auto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四、建立长效机制</w:t>
      </w:r>
    </w:p>
    <w:p>
      <w:pPr>
        <w:pStyle w:val="4"/>
        <w:spacing w:before="0" w:beforeAutospacing="0" w:after="0" w:afterAutospacing="0" w:line="240" w:lineRule="auto"/>
        <w:ind w:firstLine="636" w:firstLineChars="199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1、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加强组织领导。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做好全县严厉打击电、毒、炸鱼等违法行为工作，县政府成立分管负责同志任组长，县水产局、县公安局、县市场监管局等有关部门和乡镇负责同志为成员的工作领导小组，领导小组办公室设在县水产局。各乡镇及有关部门组织专班，抽调专人参与打击行动，确保工作取得实效。</w:t>
      </w:r>
    </w:p>
    <w:p>
      <w:pPr>
        <w:spacing w:line="240" w:lineRule="auto"/>
        <w:ind w:firstLine="636" w:firstLineChars="19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推行渔政与公安110联动执法。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公安部门及110平台受理非法捕捞行为举报，110接警后，属电、毒、炸鱼的，由属地派出所直接出警受理，查获后通知渔政等相关执法部门处理；构成犯罪的，依法追究刑事责任。属其他非法偷捕行为的，由110直接通知渔政执法机关受理、处理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加强渔政队伍建设，保护渔业资源。调整充实渔政执法队伍，壮大执法力量，提高执法装备条件，规范执法行为，提升执法水平，全力打造 “实力渔政、强势渔政、和谐渔政”，稳定渔政秩序，保护渔业资源和生态安全。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  <w:lang w:eastAsia="zh-CN"/>
        </w:rPr>
        <w:t>到目前为止，我局渔政部门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通过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县各层、各级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各相关部门的共同努力，共出动渔政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执法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人员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多人次，出动执法艇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0多次，出动执法车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0多车次，夜间通宵巡查达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多天。共查处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违法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电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力捕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0多起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，收缴打鱼机和电力捕鱼设备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22台套，罚款共4000元。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现阶段，我局又制定《打击电力捕鱼“亮剑行动”工作方案》，继续广泛深入地开展打击电、毒、炸鱼等违法行为专项整治行动，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县水产局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打击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电、毒、炸鱼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等违法行为工作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取得初步成效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在今后的工作中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我们将一如继往履行打击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电、毒、炸鱼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等违法行为工作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职责，维护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我县渔业资源和水域生态环境，确保全县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渔业生产秩序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社会经济秩序稳定，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为全县人民营造和谐、有序的渔业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资源和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水域生态环境作出新的贡献。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 w:firstLine="64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感谢您对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县水产局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渔政管理工作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的关心和支持，并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提出很好的建议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。现邀请您于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6月28日前后来我局就建议答复情况面商座谈，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欢迎多提宝贵意见。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 w:firstLine="64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 w:firstLine="64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 w:firstLine="64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 w:firstLine="5126" w:firstLineChars="1602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2018年 6月25日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联系人：吕 信  联系电话：4162259</w:t>
      </w:r>
    </w:p>
    <w:p>
      <w:pPr>
        <w:spacing w:line="24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抄</w:t>
      </w:r>
      <w:r>
        <w:rPr>
          <w:rFonts w:hint="eastAsia" w:ascii="仿宋_GB2312" w:eastAsia="仿宋_GB2312"/>
          <w:sz w:val="32"/>
          <w:szCs w:val="32"/>
          <w:lang w:eastAsia="zh-CN"/>
        </w:rPr>
        <w:t>报</w:t>
      </w:r>
      <w:r>
        <w:rPr>
          <w:rFonts w:hint="eastAsia" w:ascii="仿宋_GB2312" w:eastAsia="仿宋_GB2312"/>
          <w:sz w:val="32"/>
          <w:szCs w:val="32"/>
        </w:rPr>
        <w:t>：县</w:t>
      </w:r>
      <w:r>
        <w:rPr>
          <w:rFonts w:hint="eastAsia" w:ascii="仿宋_GB2312" w:eastAsia="仿宋_GB2312"/>
          <w:sz w:val="32"/>
          <w:szCs w:val="32"/>
          <w:lang w:eastAsia="zh-CN"/>
        </w:rPr>
        <w:t>人大代表联络办公室</w:t>
      </w:r>
      <w:r>
        <w:rPr>
          <w:rFonts w:hint="eastAsia" w:ascii="仿宋_GB2312" w:eastAsia="仿宋_GB2312"/>
          <w:sz w:val="32"/>
          <w:szCs w:val="32"/>
        </w:rPr>
        <w:t>、县政府督查室。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outlineLvl w:val="9"/>
        <w:rPr>
          <w:rFonts w:hint="eastAsia" w:ascii="方正小标宋简体" w:hAnsi="宋体" w:eastAsia="方正小标宋简体" w:cs="宋体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建议（提案）办理情况反馈意见表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outlineLvl w:val="9"/>
        <w:rPr>
          <w:rFonts w:hint="eastAsia" w:ascii="方正小标宋简体" w:hAnsi="宋体" w:eastAsia="方正小标宋简体" w:cs="宋体"/>
          <w:kern w:val="0"/>
          <w:sz w:val="32"/>
          <w:szCs w:val="32"/>
        </w:rPr>
      </w:pPr>
    </w:p>
    <w:tbl>
      <w:tblPr>
        <w:tblStyle w:val="8"/>
        <w:tblW w:w="9002" w:type="dxa"/>
        <w:jc w:val="center"/>
        <w:tblInd w:w="1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915"/>
        <w:gridCol w:w="1185"/>
        <w:gridCol w:w="870"/>
        <w:gridCol w:w="1091"/>
        <w:gridCol w:w="124"/>
        <w:gridCol w:w="970"/>
        <w:gridCol w:w="590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建议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或提案编号</w:t>
            </w:r>
          </w:p>
        </w:tc>
        <w:tc>
          <w:tcPr>
            <w:tcW w:w="9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  <w:t>002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代表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或委员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姓名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  <w:t>查刘洋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联系电话</w:t>
            </w:r>
          </w:p>
        </w:tc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  <w:t>17760869206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</w:p>
        </w:tc>
        <w:tc>
          <w:tcPr>
            <w:tcW w:w="9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单位</w:t>
            </w:r>
          </w:p>
        </w:tc>
        <w:tc>
          <w:tcPr>
            <w:tcW w:w="479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  <w:t>汤泉乡赵河幼儿园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况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标题</w:t>
            </w:r>
          </w:p>
        </w:tc>
        <w:tc>
          <w:tcPr>
            <w:tcW w:w="685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eastAsia="zh-CN"/>
              </w:rPr>
              <w:t>关于禁止电瓶、毒药非法捕鱼行为的建议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2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答复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时间</w:t>
            </w:r>
          </w:p>
        </w:tc>
        <w:tc>
          <w:tcPr>
            <w:tcW w:w="685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  <w:t>2018年 6月28日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承办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单位</w:t>
            </w:r>
          </w:p>
        </w:tc>
        <w:tc>
          <w:tcPr>
            <w:tcW w:w="685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eastAsia="zh-CN"/>
              </w:rPr>
              <w:t>太湖县水产局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22" w:hRule="atLeast"/>
          <w:jc w:val="center"/>
        </w:trPr>
        <w:tc>
          <w:tcPr>
            <w:tcW w:w="12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满意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√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基本满意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</w:p>
        </w:tc>
        <w:tc>
          <w:tcPr>
            <w:tcW w:w="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不满意</w:t>
            </w:r>
          </w:p>
        </w:tc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  <w:jc w:val="center"/>
        </w:trPr>
        <w:tc>
          <w:tcPr>
            <w:tcW w:w="1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见</w:t>
            </w:r>
          </w:p>
        </w:tc>
        <w:tc>
          <w:tcPr>
            <w:tcW w:w="7768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 w:val="0"/>
                <w:bCs/>
                <w:sz w:val="32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eastAsia="zh-CN"/>
              </w:rPr>
              <w:t>查刘洋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  <w:t xml:space="preserve">                  2018年 6月28日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20" w:firstLineChars="150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备注：本表由提出建议（议案）的县人大代表（政协委员）填写。由建议（提案）承办单位负责收集，并及时报送至县人大代表联络办公室（或政协提案委）、县政府督查室各一份。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20" w:firstLineChars="150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outlineLvl w:val="9"/>
        <w:rPr>
          <w:rFonts w:hint="eastAsia" w:ascii="方正小标宋简体" w:hAnsi="宋体" w:eastAsia="方正小标宋简体" w:cs="宋体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建议（提案）办理情况反馈意见表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outlineLvl w:val="9"/>
        <w:rPr>
          <w:rFonts w:hint="eastAsia" w:ascii="方正小标宋简体" w:hAnsi="宋体" w:eastAsia="方正小标宋简体" w:cs="宋体"/>
          <w:kern w:val="0"/>
          <w:sz w:val="32"/>
          <w:szCs w:val="32"/>
        </w:rPr>
      </w:pPr>
    </w:p>
    <w:tbl>
      <w:tblPr>
        <w:tblStyle w:val="8"/>
        <w:tblW w:w="9002" w:type="dxa"/>
        <w:jc w:val="center"/>
        <w:tblInd w:w="1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915"/>
        <w:gridCol w:w="1185"/>
        <w:gridCol w:w="870"/>
        <w:gridCol w:w="1091"/>
        <w:gridCol w:w="124"/>
        <w:gridCol w:w="970"/>
        <w:gridCol w:w="590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建议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或提案编号</w:t>
            </w:r>
          </w:p>
        </w:tc>
        <w:tc>
          <w:tcPr>
            <w:tcW w:w="9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  <w:t>002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代表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或委员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姓名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  <w:t>黄卢根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联系电话</w:t>
            </w:r>
          </w:p>
        </w:tc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  <w:t>13485567085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</w:p>
        </w:tc>
        <w:tc>
          <w:tcPr>
            <w:tcW w:w="9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单位</w:t>
            </w:r>
          </w:p>
        </w:tc>
        <w:tc>
          <w:tcPr>
            <w:tcW w:w="479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0"/>
                <w:lang w:val="en-US" w:eastAsia="zh-CN"/>
              </w:rPr>
              <w:t>汤泉乡人民政府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况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标题</w:t>
            </w:r>
          </w:p>
        </w:tc>
        <w:tc>
          <w:tcPr>
            <w:tcW w:w="685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eastAsia="zh-CN"/>
              </w:rPr>
              <w:t>关于禁止电瓶、毒药非法捕鱼行为的建议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2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答复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时间</w:t>
            </w:r>
          </w:p>
        </w:tc>
        <w:tc>
          <w:tcPr>
            <w:tcW w:w="685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  <w:t>2018年 6月28日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承办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单位</w:t>
            </w:r>
          </w:p>
        </w:tc>
        <w:tc>
          <w:tcPr>
            <w:tcW w:w="685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sz w:val="32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eastAsia="zh-CN"/>
              </w:rPr>
              <w:t>太湖县水产局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22" w:hRule="atLeast"/>
          <w:jc w:val="center"/>
        </w:trPr>
        <w:tc>
          <w:tcPr>
            <w:tcW w:w="12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30"/>
              </w:rPr>
            </w:pPr>
            <w:r>
              <w:rPr>
                <w:rFonts w:hint="eastAsia" w:ascii="仿宋_GB2312" w:eastAsia="仿宋_GB2312"/>
                <w:b/>
                <w:sz w:val="32"/>
                <w:szCs w:val="30"/>
              </w:rPr>
              <w:t>满意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√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基本满意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</w:p>
        </w:tc>
        <w:tc>
          <w:tcPr>
            <w:tcW w:w="5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不满意</w:t>
            </w:r>
          </w:p>
        </w:tc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  <w:jc w:val="center"/>
        </w:trPr>
        <w:tc>
          <w:tcPr>
            <w:tcW w:w="1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sz w:val="32"/>
                <w:szCs w:val="28"/>
              </w:rPr>
            </w:pPr>
            <w:r>
              <w:rPr>
                <w:rFonts w:hint="eastAsia" w:ascii="仿宋_GB2312" w:eastAsia="仿宋_GB2312"/>
                <w:b/>
                <w:sz w:val="32"/>
                <w:szCs w:val="28"/>
              </w:rPr>
              <w:t>见</w:t>
            </w:r>
          </w:p>
        </w:tc>
        <w:tc>
          <w:tcPr>
            <w:tcW w:w="7768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 w:val="0"/>
                <w:bCs/>
                <w:sz w:val="32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eastAsia="zh-CN"/>
              </w:rPr>
              <w:t>黄炉根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  <w:t xml:space="preserve">              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b w:val="0"/>
                <w:bCs/>
                <w:sz w:val="32"/>
                <w:szCs w:val="28"/>
                <w:lang w:val="en-US" w:eastAsia="zh-CN"/>
              </w:rPr>
              <w:t>2018年 6月28日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20" w:firstLineChars="150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备注：本表由提出建议（议案）的县人大代表（政协委员）填写。由建议（提案）承办单位负责收集，并及时报送至县人大代表联络办公室（或政协提案委）、县政府督查室各一份。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20" w:firstLineChars="150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02613"/>
    <w:rsid w:val="017744F7"/>
    <w:rsid w:val="0B2729D2"/>
    <w:rsid w:val="0CA01315"/>
    <w:rsid w:val="0D015E6C"/>
    <w:rsid w:val="0DDD7443"/>
    <w:rsid w:val="14FC001E"/>
    <w:rsid w:val="1647394C"/>
    <w:rsid w:val="1814713A"/>
    <w:rsid w:val="19BA5AE7"/>
    <w:rsid w:val="1E2852B3"/>
    <w:rsid w:val="271F4AC7"/>
    <w:rsid w:val="2BB4609E"/>
    <w:rsid w:val="3CE74351"/>
    <w:rsid w:val="40C8177C"/>
    <w:rsid w:val="47B808EA"/>
    <w:rsid w:val="53502613"/>
    <w:rsid w:val="545118B3"/>
    <w:rsid w:val="5AC1626D"/>
    <w:rsid w:val="5F7016DA"/>
    <w:rsid w:val="637806BA"/>
    <w:rsid w:val="68AE7D47"/>
    <w:rsid w:val="6A6329DE"/>
    <w:rsid w:val="6DB62C76"/>
    <w:rsid w:val="74D018AB"/>
    <w:rsid w:val="76983972"/>
    <w:rsid w:val="7F57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2018-06-24T05:14:00Z</dcterms:created>
  <dc:creator>Administrator</dc:creator>
  <cp:lastModifiedBy>Administrator</cp:lastModifiedBy>
  <cp:lastPrinted>2018-06-26T10:22:00Z</cp:lastPrinted>
  <dcterms:modified xsi:type="dcterms:W3CDTF">2018-06-28T09:29:07Z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