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right"/>
        <w:textAlignment w:val="baseline"/>
        <w:rPr>
          <w:rFonts w:hint="eastAsia" w:ascii="仿宋_GB2312" w:hAnsi="宋体" w:eastAsia="黑体" w:cs="宋体"/>
          <w:b/>
          <w:bCs/>
          <w:kern w:val="0"/>
          <w:sz w:val="32"/>
          <w:szCs w:val="32"/>
          <w:lang w:val="en-US" w:eastAsia="zh-CN"/>
        </w:rPr>
      </w:pPr>
      <w:r>
        <w:rPr>
          <w:rFonts w:hint="eastAsia" w:ascii="黑体" w:hAnsi="黑体" w:eastAsia="黑体" w:cs="黑体"/>
          <w:b/>
          <w:bCs/>
          <w:kern w:val="0"/>
          <w:sz w:val="32"/>
          <w:szCs w:val="32"/>
        </w:rPr>
        <w:t>办理结果：</w:t>
      </w:r>
      <w:r>
        <w:rPr>
          <w:rFonts w:hint="eastAsia" w:ascii="黑体" w:hAnsi="黑体" w:eastAsia="黑体" w:cs="黑体"/>
          <w:b/>
          <w:bCs/>
          <w:kern w:val="0"/>
          <w:sz w:val="32"/>
          <w:szCs w:val="32"/>
          <w:lang w:val="en-US" w:eastAsia="zh-CN"/>
        </w:rPr>
        <w:t>A</w:t>
      </w:r>
    </w:p>
    <w:p>
      <w:pPr>
        <w:spacing w:line="600" w:lineRule="exact"/>
        <w:jc w:val="center"/>
        <w:rPr>
          <w:rFonts w:ascii="Wingdings 2" w:hAnsi="Wingdings 2" w:eastAsia="方正小标宋简体"/>
          <w:color w:val="FF0000"/>
          <w:spacing w:val="-20"/>
          <w:w w:val="50"/>
          <w:sz w:val="144"/>
          <w:szCs w:val="144"/>
        </w:rPr>
      </w:pPr>
    </w:p>
    <w:p>
      <w:pPr>
        <w:spacing w:line="600" w:lineRule="exact"/>
        <w:jc w:val="both"/>
        <w:rPr>
          <w:rFonts w:ascii="Wingdings 2" w:hAnsi="Wingdings 2" w:eastAsia="方正小标宋简体"/>
          <w:color w:val="FF0000"/>
          <w:spacing w:val="-20"/>
          <w:w w:val="50"/>
          <w:sz w:val="144"/>
          <w:szCs w:val="144"/>
        </w:rPr>
      </w:pPr>
    </w:p>
    <w:p>
      <w:pPr>
        <w:jc w:val="center"/>
        <w:rPr>
          <w:rFonts w:ascii="Wingdings 2" w:hAnsi="Wingdings 2" w:eastAsia="方正小标宋简体"/>
          <w:color w:val="FF0000"/>
          <w:spacing w:val="30"/>
          <w:w w:val="66"/>
          <w:sz w:val="144"/>
          <w:szCs w:val="144"/>
        </w:rPr>
      </w:pPr>
      <w:r>
        <w:rPr>
          <w:rFonts w:hint="eastAsia" w:ascii="Wingdings 2" w:hAnsi="Wingdings 2" w:eastAsia="方正小标宋简体"/>
          <w:color w:val="FF0000"/>
          <w:spacing w:val="30"/>
          <w:w w:val="66"/>
          <w:sz w:val="144"/>
          <w:szCs w:val="144"/>
        </w:rPr>
        <w:t>太湖县林业局文件</w:t>
      </w:r>
    </w:p>
    <w:p>
      <w:pPr>
        <w:jc w:val="center"/>
        <w:rPr>
          <w:rFonts w:hint="eastAsia" w:ascii="仿宋_GB2312" w:hAnsi="华文中宋" w:eastAsia="仿宋_GB2312"/>
          <w:sz w:val="32"/>
          <w:szCs w:val="32"/>
        </w:rPr>
      </w:pPr>
      <w:r>
        <w:rPr>
          <w:rFonts w:hint="eastAsia" w:ascii="仿宋_GB2312" w:hAnsi="华文中宋" w:eastAsia="仿宋_GB2312"/>
          <w:sz w:val="32"/>
          <w:szCs w:val="32"/>
        </w:rPr>
        <w:t xml:space="preserve">    </w:t>
      </w:r>
    </w:p>
    <w:p>
      <w:pPr>
        <w:jc w:val="center"/>
        <w:rPr>
          <w:rFonts w:ascii="仿宋_GB2312" w:hAnsi="华文中宋" w:eastAsia="仿宋_GB2312"/>
          <w:sz w:val="32"/>
          <w:szCs w:val="32"/>
        </w:rPr>
      </w:pPr>
      <w:r>
        <w:rPr>
          <w:rFonts w:hint="eastAsia" w:ascii="仿宋_GB2312" w:hAnsi="MS PGothic" w:eastAsia="仿宋_GB2312" w:cs="宋体"/>
          <w:color w:val="000000"/>
          <w:sz w:val="32"/>
          <w:szCs w:val="32"/>
        </w:rPr>
        <w:t>太林办〔2018〕</w:t>
      </w:r>
      <w:r>
        <w:rPr>
          <w:rFonts w:hint="eastAsia" w:ascii="仿宋_GB2312" w:hAnsi="MS PGothic" w:eastAsia="仿宋_GB2312" w:cs="宋体"/>
          <w:color w:val="000000"/>
          <w:sz w:val="32"/>
          <w:szCs w:val="32"/>
          <w:lang w:val="en-US" w:eastAsia="zh-CN"/>
        </w:rPr>
        <w:t>22</w:t>
      </w:r>
      <w:r>
        <w:rPr>
          <w:rFonts w:hint="eastAsia" w:ascii="仿宋_GB2312" w:hAnsi="MS PGothic" w:eastAsia="仿宋_GB2312" w:cs="宋体"/>
          <w:color w:val="000000"/>
          <w:sz w:val="32"/>
          <w:szCs w:val="32"/>
        </w:rPr>
        <w:t>号</w:t>
      </w:r>
      <w:r>
        <w:rPr>
          <w:rFonts w:hint="eastAsia" w:ascii="仿宋_GB2312" w:hAnsi="华文中宋" w:eastAsia="仿宋_GB2312"/>
          <w:sz w:val="32"/>
          <w:szCs w:val="32"/>
        </w:rPr>
        <w:t xml:space="preserve"> </w:t>
      </w:r>
      <w:r>
        <w:rPr>
          <w:rFonts w:hint="eastAsia" w:ascii="仿宋_GB2312" w:hAnsi="华文中宋" w:eastAsia="仿宋_GB2312"/>
          <w:sz w:val="32"/>
          <w:szCs w:val="32"/>
          <w:lang w:val="en-US" w:eastAsia="zh-CN"/>
        </w:rPr>
        <w:t xml:space="preserve">                        签发人：王彬</w:t>
      </w:r>
    </w:p>
    <w:p>
      <w:pPr>
        <w:spacing w:line="420" w:lineRule="exact"/>
        <w:rPr>
          <w:rFonts w:hint="eastAsia" w:ascii="Times New Roman" w:hAnsi="Times New Roman" w:eastAsia="宋体"/>
          <w:b/>
          <w:color w:val="FF0000"/>
          <w:sz w:val="28"/>
          <w:szCs w:val="28"/>
          <w:u w:val="single"/>
        </w:rPr>
      </w:pPr>
      <w:r>
        <w:rPr>
          <w:b/>
          <w:color w:val="FF0000"/>
          <w:sz w:val="28"/>
          <w:szCs w:val="28"/>
          <w:u w:val="single"/>
        </w:rPr>
        <w:t xml:space="preserve">                                                               </w:t>
      </w:r>
    </w:p>
    <w:p>
      <w:pPr>
        <w:spacing w:line="400" w:lineRule="exact"/>
        <w:rPr>
          <w:rFonts w:hint="eastAsia" w:ascii="方正小标宋简体" w:hAnsi="方正小标宋简体" w:eastAsia="方正小标宋简体" w:cs="方正小标宋简体"/>
          <w:b/>
          <w:sz w:val="36"/>
          <w:szCs w:val="36"/>
        </w:rPr>
      </w:pPr>
    </w:p>
    <w:p>
      <w:pPr>
        <w:spacing w:line="600" w:lineRule="exact"/>
        <w:jc w:val="center"/>
        <w:rPr>
          <w:rFonts w:hint="eastAsia" w:ascii="方正小标宋简体" w:hAnsi="方正小标宋简体" w:eastAsia="方正小标宋简体" w:cs="方正小标宋简体"/>
          <w:b/>
          <w:bCs w:val="0"/>
          <w:spacing w:val="-20"/>
          <w:sz w:val="44"/>
          <w:szCs w:val="44"/>
        </w:rPr>
      </w:pPr>
      <w:r>
        <w:rPr>
          <w:rFonts w:hint="eastAsia" w:ascii="方正小标宋简体" w:hAnsi="方正小标宋简体" w:eastAsia="方正小标宋简体" w:cs="方正小标宋简体"/>
          <w:b/>
          <w:bCs w:val="0"/>
          <w:spacing w:val="-20"/>
          <w:sz w:val="44"/>
          <w:szCs w:val="44"/>
        </w:rPr>
        <w:t>关于对县十六届人大二次会议第018号建议的答复</w:t>
      </w:r>
    </w:p>
    <w:p>
      <w:pPr>
        <w:spacing w:line="600" w:lineRule="exact"/>
        <w:ind w:firstLine="2070"/>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何保宏代表：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您提出的《关于提高松材线虫病防治重视程度的建议》收悉，现答复如下：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我县坚持“生态立县”战略，以实施林长制为总牵引，以落实林业增绿、增效行动为抓手，将林业发展建设和乡村振兴有机结合，坚定不移地推进生态文明建设。在大力开展造林绿化，积极推进依法治林的同时，切实抓好林业“两防”工作，积极推进各项林业工作顺利开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一、松材线虫病发生概况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我县自2012年秋季普查中在毗邻望江县的新仓镇香茗山村发现松材线虫病疫情后，县林业局投入大量资金进行了有效治理。2013年秋季普查在徐桥镇、大石等乡镇发现松材线虫新疫点，经县森防站和省市专家现场认定是沪蓉高压输电线、塔建设携带包装物传入，疫情沿高压线向我县和邻县周边松林扩散，虽经全年治理，每年在有限的经费中重点倾斜徐桥等乡镇，由于加上没有良好的防治手段，徐桥镇疫情呈较快蔓延扩散状态，全县其他乡镇呈缓慢发展趋势。</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2017年全县松材线虫病高危区分布面积13852亩，枯死树5372株，分布面积占全县130万亩松林的1%，涉及9个乡镇，165个小班，其中大石乡（面积、死亡株数）2460亩/908株；徐桥镇（面积、死亡株数）1993亩/2900株；江塘乡（面积、死亡株数）627亩/1568株，紧邻三个乡镇为我县疫情较重地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二、防治情况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为切实搞好松材线虫病防治工作，我县进一步加大了防治经费、责任的落实，全县防治工作有序开展。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eastAsia="仿宋_GB2312"/>
          <w:sz w:val="32"/>
          <w:szCs w:val="32"/>
        </w:rPr>
      </w:pPr>
      <w:r>
        <w:rPr>
          <w:rFonts w:hint="eastAsia" w:ascii="楷体" w:hAnsi="楷体" w:eastAsia="楷体" w:cs="楷体"/>
          <w:b/>
          <w:bCs/>
          <w:sz w:val="32"/>
          <w:szCs w:val="32"/>
        </w:rPr>
        <w:t>1.落实责任。</w:t>
      </w:r>
      <w:r>
        <w:rPr>
          <w:rFonts w:hint="eastAsia" w:ascii="仿宋_GB2312" w:eastAsia="仿宋_GB2312"/>
          <w:sz w:val="32"/>
          <w:szCs w:val="32"/>
        </w:rPr>
        <w:t>保护我县森林资源，实现绿水青山就是金山银山。我县加大松材线虫病防治工作力度，县政府先后与乡镇签订了《2014年—2016年度松材线虫病防治责任状》、《2017年—2019年太湖县重大林业有害生物防控目标责任书》，涵盖松材线虫病、美国白娥等危险性较大的林业有害生物。县松材线虫病防治指挥部办公室对各乡镇2017年秋季普查提出了严格要求，并加大了日常工作督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eastAsia="仿宋_GB2312"/>
          <w:sz w:val="32"/>
          <w:szCs w:val="32"/>
        </w:rPr>
      </w:pPr>
      <w:r>
        <w:rPr>
          <w:rFonts w:hint="eastAsia" w:ascii="楷体" w:hAnsi="楷体" w:eastAsia="楷体" w:cs="楷体"/>
          <w:b/>
          <w:bCs/>
          <w:sz w:val="32"/>
          <w:szCs w:val="32"/>
        </w:rPr>
        <w:t>2.落实经费保障。</w:t>
      </w:r>
      <w:r>
        <w:rPr>
          <w:rFonts w:hint="eastAsia" w:ascii="仿宋_GB2312" w:eastAsia="仿宋_GB2312"/>
          <w:sz w:val="32"/>
          <w:szCs w:val="32"/>
        </w:rPr>
        <w:t>2017年县政府常务会专题研究了松材线虫病防治工作并安排专项防治经费140万元，同时县林业局积极向省林业厅争取了部分经费，为2017—2018年度防治工作提供了资金保障。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仿宋_GB2312" w:eastAsia="仿宋_GB2312"/>
          <w:sz w:val="32"/>
          <w:szCs w:val="32"/>
        </w:rPr>
      </w:pPr>
      <w:r>
        <w:rPr>
          <w:rFonts w:hint="eastAsia" w:ascii="楷体" w:hAnsi="楷体" w:eastAsia="楷体" w:cs="楷体"/>
          <w:b/>
          <w:bCs/>
          <w:sz w:val="32"/>
          <w:szCs w:val="32"/>
        </w:rPr>
        <w:t>3.徐桥镇防治情况。</w:t>
      </w:r>
      <w:r>
        <w:rPr>
          <w:rFonts w:hint="eastAsia" w:ascii="仿宋_GB2312" w:eastAsia="仿宋_GB2312"/>
          <w:sz w:val="32"/>
          <w:szCs w:val="32"/>
        </w:rPr>
        <w:t>徐桥镇松材线虫病2013年发生（面积、死亡株数）180亩/53株、2014年发生（面积、死亡株数）1450亩/198株、2015年发生（面积、死亡株数）853亩/180株、2016年发生（面积、死亡株数）475亩/1800株、2017年发生（面积、死亡株数）1993亩/2900株。徐桥镇党委、政府加强防治工作领导，截止目前全镇完成主要发生区枯死树清理工作，统计清理枯</w:t>
      </w:r>
      <w:bookmarkStart w:id="0" w:name="_GoBack"/>
      <w:r>
        <w:rPr>
          <w:rFonts w:hint="eastAsia" w:ascii="仿宋_GB2312" w:eastAsia="仿宋_GB2312"/>
          <w:sz w:val="32"/>
          <w:szCs w:val="32"/>
        </w:rPr>
        <w:t>死树（包含积年枯死）200余吨。</w:t>
      </w:r>
    </w:p>
    <w:bookmarkEnd w:id="0"/>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松材线虫病防治工作是一个世界性林业难题，目前尚未有特别有效的办法，各地都在防治实战中不断摸索，只有坚持不懈开展综合治理、减轻灾害直至根除疫情。县林业局将与广大人大代表、林区干部群众共同努力，打赢我县松材线虫病防治攻坚战。</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非常</w:t>
      </w:r>
      <w:r>
        <w:rPr>
          <w:rFonts w:hint="eastAsia" w:ascii="仿宋_GB2312" w:eastAsia="仿宋_GB2312"/>
          <w:sz w:val="32"/>
          <w:szCs w:val="32"/>
        </w:rPr>
        <w:t>感谢您</w:t>
      </w:r>
      <w:r>
        <w:rPr>
          <w:rFonts w:hint="eastAsia" w:ascii="仿宋_GB2312" w:eastAsia="仿宋_GB2312"/>
          <w:sz w:val="32"/>
          <w:szCs w:val="32"/>
          <w:lang w:eastAsia="zh-CN"/>
        </w:rPr>
        <w:t>对我县林业工作的</w:t>
      </w:r>
      <w:r>
        <w:rPr>
          <w:rFonts w:hint="eastAsia" w:ascii="仿宋_GB2312" w:eastAsia="仿宋_GB2312"/>
          <w:sz w:val="32"/>
          <w:szCs w:val="32"/>
        </w:rPr>
        <w:t>关心，</w:t>
      </w:r>
      <w:r>
        <w:rPr>
          <w:rFonts w:hint="eastAsia" w:ascii="仿宋_GB2312" w:eastAsia="仿宋_GB2312"/>
          <w:sz w:val="32"/>
          <w:szCs w:val="32"/>
          <w:lang w:eastAsia="zh-CN"/>
        </w:rPr>
        <w:t>并请</w:t>
      </w:r>
      <w:r>
        <w:rPr>
          <w:rFonts w:hint="eastAsia" w:ascii="仿宋_GB2312" w:eastAsia="仿宋_GB2312"/>
          <w:sz w:val="32"/>
          <w:szCs w:val="32"/>
        </w:rPr>
        <w:t>您一如既往地关注和支持林业事业的发展,共同为全县林业发展贡献一份力量。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r>
        <w:rPr>
          <w:sz w:val="32"/>
        </w:rPr>
        <w:drawing>
          <wp:anchor distT="0" distB="0" distL="114300" distR="114300" simplePos="0" relativeHeight="251658240" behindDoc="0" locked="0" layoutInCell="1" allowOverlap="1">
            <wp:simplePos x="0" y="0"/>
            <wp:positionH relativeFrom="page">
              <wp:posOffset>4203700</wp:posOffset>
            </wp:positionH>
            <wp:positionV relativeFrom="page">
              <wp:posOffset>5680075</wp:posOffset>
            </wp:positionV>
            <wp:extent cx="1487170" cy="1499870"/>
            <wp:effectExtent l="0" t="0" r="17780" b="5080"/>
            <wp:wrapNone/>
            <wp:docPr id="1" name="图片 1" descr="用户:&#10;时间:2018-04-27 10:47:52&#10;印章:太湖县林业局&#10;使用者:林业局&#10;标识:C316B8F7DDB3FBEB8BF1DB53373F97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用户:&#10;时间:2018-04-27 10:47:52&#10;印章:太湖县林业局&#10;使用者:林业局&#10;标识:C316B8F7DDB3FBEB8BF1DB53373F971B"/>
                    <pic:cNvPicPr>
                      <a:picLocks noChangeAspect="1"/>
                    </pic:cNvPicPr>
                  </pic:nvPicPr>
                  <pic:blipFill>
                    <a:blip r:embed="rId4">
                      <a:clrChange>
                        <a:clrFrom>
                          <a:srgbClr val="FFFFFF"/>
                        </a:clrFrom>
                        <a:clrTo>
                          <a:srgbClr val="FFFFFF">
                            <a:alpha val="0"/>
                          </a:srgbClr>
                        </a:clrTo>
                      </a:clrChange>
                    </a:blip>
                    <a:stretch>
                      <a:fillRect/>
                    </a:stretch>
                  </pic:blipFill>
                  <pic:spPr>
                    <a:xfrm>
                      <a:off x="0" y="0"/>
                      <a:ext cx="1487170" cy="149987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40" w:lineRule="exact"/>
        <w:ind w:left="0" w:leftChars="0" w:right="0" w:rightChars="0"/>
        <w:jc w:val="center"/>
        <w:textAlignment w:val="auto"/>
        <w:outlineLvl w:val="9"/>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太湖县林业</w:t>
      </w:r>
      <w:r>
        <w:rPr>
          <w:rFonts w:hint="eastAsia" w:ascii="仿宋_GB2312" w:eastAsia="仿宋_GB2312"/>
          <w:sz w:val="32"/>
          <w:szCs w:val="32"/>
        </w:rPr>
        <w:t>局</w:t>
      </w:r>
    </w:p>
    <w:p>
      <w:pPr>
        <w:keepNext w:val="0"/>
        <w:keepLines w:val="0"/>
        <w:pageBreakBefore w:val="0"/>
        <w:widowControl w:val="0"/>
        <w:kinsoku/>
        <w:wordWrap w:val="0"/>
        <w:overflowPunct/>
        <w:topLinePunct w:val="0"/>
        <w:autoSpaceDE/>
        <w:autoSpaceDN/>
        <w:bidi w:val="0"/>
        <w:adjustRightInd/>
        <w:snapToGrid/>
        <w:spacing w:line="540" w:lineRule="exact"/>
        <w:ind w:left="0" w:leftChars="0" w:right="0" w:rightChars="0"/>
        <w:jc w:val="righ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2018</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 xml:space="preserve">日         </w:t>
      </w:r>
    </w:p>
    <w:p>
      <w:pPr>
        <w:spacing w:line="600" w:lineRule="exact"/>
        <w:ind w:firstLine="6560" w:firstLineChars="2050"/>
        <w:rPr>
          <w:rFonts w:hint="eastAsia" w:ascii="仿宋_GB2312" w:eastAsia="仿宋_GB2312"/>
          <w:sz w:val="32"/>
          <w:szCs w:val="32"/>
          <w:lang w:val="en-US" w:eastAsia="zh-CN"/>
        </w:rPr>
      </w:pPr>
    </w:p>
    <w:p>
      <w:pPr>
        <w:spacing w:line="600" w:lineRule="exact"/>
        <w:ind w:firstLine="6560" w:firstLineChars="205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eastAsia="zh-CN"/>
        </w:rPr>
        <w:t>吴振坤</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联系电话：</w:t>
      </w:r>
      <w:r>
        <w:rPr>
          <w:rFonts w:hint="eastAsia" w:ascii="仿宋_GB2312" w:eastAsia="仿宋_GB2312"/>
          <w:sz w:val="32"/>
          <w:szCs w:val="32"/>
          <w:lang w:val="en-US" w:eastAsia="zh-CN"/>
        </w:rPr>
        <w:t>4165900</w:t>
      </w:r>
    </w:p>
    <w:p>
      <w:pPr>
        <w:spacing w:line="600" w:lineRule="exact"/>
        <w:ind w:left="931" w:hanging="931" w:hangingChars="291"/>
        <w:rPr>
          <w:rFonts w:hint="eastAsia" w:ascii="仿宋_GB2312" w:eastAsia="仿宋_GB2312"/>
          <w:sz w:val="32"/>
          <w:szCs w:val="32"/>
        </w:rPr>
      </w:pPr>
    </w:p>
    <w:p>
      <w:pPr>
        <w:spacing w:line="600" w:lineRule="exact"/>
        <w:ind w:left="931" w:hanging="931" w:hangingChars="291"/>
      </w:pPr>
      <w:r>
        <w:rPr>
          <w:rFonts w:hint="eastAsia" w:ascii="仿宋_GB2312" w:eastAsia="仿宋_GB2312"/>
          <w:sz w:val="32"/>
          <w:szCs w:val="32"/>
        </w:rPr>
        <w:t>抄送：</w:t>
      </w:r>
      <w:r>
        <w:rPr>
          <w:rFonts w:hint="eastAsia" w:ascii="仿宋_GB2312" w:eastAsia="仿宋_GB2312"/>
          <w:sz w:val="32"/>
          <w:szCs w:val="32"/>
          <w:lang w:eastAsia="zh-CN"/>
        </w:rPr>
        <w:t>方夏</w:t>
      </w:r>
      <w:r>
        <w:rPr>
          <w:rFonts w:hint="eastAsia" w:ascii="仿宋_GB2312" w:eastAsia="仿宋_GB2312"/>
          <w:sz w:val="32"/>
          <w:szCs w:val="32"/>
        </w:rPr>
        <w:t>代表、</w:t>
      </w:r>
      <w:r>
        <w:rPr>
          <w:rFonts w:hint="eastAsia" w:ascii="仿宋_GB2312" w:eastAsia="仿宋_GB2312"/>
          <w:sz w:val="32"/>
          <w:szCs w:val="32"/>
          <w:lang w:eastAsia="zh-CN"/>
        </w:rPr>
        <w:t>朱家波</w:t>
      </w:r>
      <w:r>
        <w:rPr>
          <w:rFonts w:hint="eastAsia" w:ascii="仿宋_GB2312" w:eastAsia="仿宋_GB2312"/>
          <w:sz w:val="32"/>
          <w:szCs w:val="32"/>
        </w:rPr>
        <w:t>代表</w:t>
      </w:r>
      <w:r>
        <w:rPr>
          <w:rFonts w:hint="eastAsia" w:ascii="仿宋_GB2312" w:eastAsia="仿宋_GB2312"/>
          <w:sz w:val="32"/>
          <w:szCs w:val="32"/>
          <w:lang w:eastAsia="zh-CN"/>
        </w:rPr>
        <w:t>、叶邦道代表、周家良代表、李芳代表、韦正华代表、姚永红代表、王旺良代表、王丹华代表、孙训文代表</w:t>
      </w:r>
      <w:r>
        <w:rPr>
          <w:rFonts w:hint="eastAsia" w:ascii="仿宋_GB2312" w:eastAsia="仿宋_GB2312"/>
          <w:sz w:val="32"/>
          <w:szCs w:val="32"/>
        </w:rPr>
        <w:t>，县人大代表联络办公室、县政府督查室，</w:t>
      </w:r>
      <w:r>
        <w:rPr>
          <w:rFonts w:hint="eastAsia" w:ascii="仿宋_GB2312" w:eastAsia="仿宋_GB2312"/>
          <w:sz w:val="32"/>
          <w:szCs w:val="32"/>
          <w:lang w:eastAsia="zh-CN"/>
        </w:rPr>
        <w:t>徐桥镇</w:t>
      </w:r>
      <w:r>
        <w:rPr>
          <w:rFonts w:hint="eastAsia" w:ascii="仿宋_GB2312" w:eastAsia="仿宋_GB2312"/>
          <w:sz w:val="32"/>
          <w:szCs w:val="32"/>
        </w:rPr>
        <w:t>人大。</w:t>
      </w:r>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swiss"/>
    <w:pitch w:val="default"/>
    <w:sig w:usb0="E00002FF" w:usb1="6AC7FDFB" w:usb2="00000012" w:usb3="00000000" w:csb0="4002009F" w:csb1="DFD70000"/>
  </w:font>
  <w:font w:name="方正小标宋简体">
    <w:altName w:val="Arial Unicode MS"/>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B3249"/>
    <w:rsid w:val="058A4137"/>
    <w:rsid w:val="0A8A7036"/>
    <w:rsid w:val="0E6A5FF8"/>
    <w:rsid w:val="134C5596"/>
    <w:rsid w:val="1E787C6E"/>
    <w:rsid w:val="2D3241F7"/>
    <w:rsid w:val="3AB320AB"/>
    <w:rsid w:val="423A68A0"/>
    <w:rsid w:val="4FCB3249"/>
    <w:rsid w:val="59802F34"/>
    <w:rsid w:val="6A60557C"/>
    <w:rsid w:val="6AAB174F"/>
    <w:rsid w:val="6ACA1BF0"/>
    <w:rsid w:val="703D4A99"/>
    <w:rsid w:val="795F1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2018-04-26T00:14:00Z</dcterms:created>
  <dc:creator>周  蓉</dc:creator>
  <cp:lastModifiedBy>周  蓉</cp:lastModifiedBy>
  <dcterms:modified xsi:type="dcterms:W3CDTF">2018-04-27T06:53:20Z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