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rPr>
          <w:sz w:val="44"/>
          <w:szCs w:val="44"/>
        </w:rPr>
      </w:pPr>
    </w:p>
    <w:p>
      <w:pPr>
        <w:spacing w:line="360" w:lineRule="auto"/>
        <w:jc w:val="center"/>
        <w:rPr>
          <w:rFonts w:hint="eastAsia" w:ascii="黑体" w:hAnsi="黑体" w:eastAsia="黑体"/>
          <w:b w:val="0"/>
          <w:bCs w:val="0"/>
          <w:sz w:val="32"/>
          <w:szCs w:val="32"/>
          <w:lang w:val="en-US" w:eastAsia="zh-CN"/>
        </w:rPr>
      </w:pPr>
      <w:r>
        <w:rPr>
          <w:rFonts w:hint="eastAsia" w:ascii="黑体" w:hAnsi="黑体" w:eastAsia="黑体"/>
          <w:sz w:val="44"/>
          <w:szCs w:val="44"/>
          <w:lang w:val="en-US" w:eastAsia="zh-CN"/>
        </w:rPr>
        <w:t xml:space="preserve">                   </w:t>
      </w:r>
      <w:r>
        <w:rPr>
          <w:rFonts w:hint="eastAsia" w:ascii="黑体" w:hAnsi="黑体" w:eastAsia="黑体"/>
          <w:b w:val="0"/>
          <w:bCs w:val="0"/>
          <w:sz w:val="32"/>
          <w:szCs w:val="32"/>
          <w:lang w:val="en-US" w:eastAsia="zh-CN"/>
        </w:rPr>
        <w:t>办理结果：B</w:t>
      </w:r>
    </w:p>
    <w:p>
      <w:pPr>
        <w:spacing w:line="360" w:lineRule="auto"/>
        <w:jc w:val="center"/>
        <w:rPr>
          <w:rFonts w:hint="eastAsia" w:ascii="黑体" w:hAnsi="黑体" w:eastAsia="黑体"/>
          <w:b w:val="0"/>
          <w:bCs w:val="0"/>
          <w:sz w:val="32"/>
          <w:szCs w:val="32"/>
          <w:lang w:val="en-US" w:eastAsia="zh-CN"/>
        </w:rPr>
      </w:pPr>
    </w:p>
    <w:p>
      <w:pPr>
        <w:spacing w:line="360" w:lineRule="auto"/>
        <w:jc w:val="center"/>
        <w:rPr>
          <w:rFonts w:hint="eastAsia" w:ascii="黑体" w:hAnsi="黑体" w:eastAsia="黑体"/>
          <w:b w:val="0"/>
          <w:bCs w:val="0"/>
          <w:sz w:val="32"/>
          <w:szCs w:val="32"/>
          <w:lang w:val="en-US" w:eastAsia="zh-CN"/>
        </w:rPr>
      </w:pPr>
    </w:p>
    <w:p>
      <w:pPr>
        <w:pStyle w:val="4"/>
        <w:shd w:val="clear" w:color="auto" w:fill="FFFFFF"/>
        <w:spacing w:before="0" w:beforeAutospacing="0" w:after="0" w:afterAutospacing="0" w:line="360" w:lineRule="auto"/>
        <w:ind w:firstLine="320" w:firstLineChars="100"/>
        <w:jc w:val="both"/>
        <w:rPr>
          <w:rStyle w:val="6"/>
          <w:rFonts w:hint="eastAsia" w:asciiTheme="majorEastAsia" w:hAnsiTheme="majorEastAsia" w:eastAsiaTheme="majorEastAsia" w:cstheme="majorEastAsia"/>
          <w:b/>
          <w:bCs w:val="0"/>
          <w:color w:val="333333"/>
          <w:sz w:val="32"/>
          <w:szCs w:val="32"/>
          <w:lang w:val="en-US" w:eastAsia="zh-CN"/>
        </w:rPr>
      </w:pPr>
      <w:r>
        <w:rPr>
          <w:rFonts w:hint="eastAsia" w:asciiTheme="majorEastAsia" w:hAnsiTheme="majorEastAsia" w:eastAsiaTheme="majorEastAsia" w:cstheme="majorEastAsia"/>
          <w:kern w:val="2"/>
          <w:sz w:val="32"/>
          <w:szCs w:val="32"/>
          <w:lang w:val="en-US" w:eastAsia="zh-CN" w:bidi="ar-SA"/>
        </w:rPr>
        <w:t>太农〔2018〕176</w:t>
      </w:r>
      <w:bookmarkStart w:id="0" w:name="_GoBack"/>
      <w:bookmarkEnd w:id="0"/>
      <w:r>
        <w:rPr>
          <w:rFonts w:hint="eastAsia" w:asciiTheme="majorEastAsia" w:hAnsiTheme="majorEastAsia" w:eastAsiaTheme="majorEastAsia" w:cstheme="majorEastAsia"/>
          <w:kern w:val="2"/>
          <w:sz w:val="32"/>
          <w:szCs w:val="32"/>
          <w:lang w:val="en-US" w:eastAsia="zh-CN" w:bidi="ar-SA"/>
        </w:rPr>
        <w:t>号               签发人：王辉</w:t>
      </w:r>
    </w:p>
    <w:p>
      <w:pPr>
        <w:spacing w:line="360" w:lineRule="auto"/>
        <w:jc w:val="center"/>
        <w:rPr>
          <w:rFonts w:hint="eastAsia" w:ascii="黑体" w:hAnsi="黑体" w:eastAsia="黑体"/>
          <w:sz w:val="44"/>
          <w:szCs w:val="44"/>
        </w:rPr>
      </w:pPr>
    </w:p>
    <w:p>
      <w:pPr>
        <w:pStyle w:val="4"/>
        <w:shd w:val="clear" w:color="auto" w:fill="FFFFFF"/>
        <w:adjustRightInd/>
        <w:snapToGrid/>
        <w:spacing w:before="0" w:beforeAutospacing="0" w:after="0" w:afterAutospacing="0" w:line="360" w:lineRule="auto"/>
        <w:ind w:left="2660" w:leftChars="209" w:hanging="2200" w:hangingChars="500"/>
        <w:jc w:val="left"/>
        <w:rPr>
          <w:rStyle w:val="6"/>
          <w:rFonts w:hint="eastAsia" w:asciiTheme="majorEastAsia" w:hAnsiTheme="majorEastAsia" w:eastAsiaTheme="majorEastAsia" w:cstheme="majorEastAsia"/>
          <w:b w:val="0"/>
          <w:color w:val="333333"/>
          <w:sz w:val="44"/>
          <w:szCs w:val="44"/>
        </w:rPr>
      </w:pPr>
      <w:r>
        <w:rPr>
          <w:rStyle w:val="6"/>
          <w:rFonts w:hint="eastAsia" w:asciiTheme="majorEastAsia" w:hAnsiTheme="majorEastAsia" w:eastAsiaTheme="majorEastAsia" w:cstheme="majorEastAsia"/>
          <w:b w:val="0"/>
          <w:color w:val="333333"/>
          <w:sz w:val="44"/>
          <w:szCs w:val="44"/>
        </w:rPr>
        <w:t>关于对</w:t>
      </w:r>
      <w:r>
        <w:rPr>
          <w:rStyle w:val="6"/>
          <w:rFonts w:hint="eastAsia" w:asciiTheme="majorEastAsia" w:hAnsiTheme="majorEastAsia" w:eastAsiaTheme="majorEastAsia" w:cstheme="majorEastAsia"/>
          <w:b w:val="0"/>
          <w:color w:val="333333"/>
          <w:sz w:val="44"/>
          <w:szCs w:val="44"/>
          <w:lang w:eastAsia="zh-CN"/>
        </w:rPr>
        <w:t>县</w:t>
      </w:r>
      <w:r>
        <w:rPr>
          <w:rStyle w:val="6"/>
          <w:rFonts w:hint="eastAsia" w:asciiTheme="majorEastAsia" w:hAnsiTheme="majorEastAsia" w:eastAsiaTheme="majorEastAsia" w:cstheme="majorEastAsia"/>
          <w:b w:val="0"/>
          <w:color w:val="333333"/>
          <w:sz w:val="44"/>
          <w:szCs w:val="44"/>
        </w:rPr>
        <w:t>十六届人大二次会议第023号</w:t>
      </w:r>
    </w:p>
    <w:p>
      <w:pPr>
        <w:pStyle w:val="4"/>
        <w:shd w:val="clear" w:color="auto" w:fill="FFFFFF"/>
        <w:adjustRightInd/>
        <w:snapToGrid/>
        <w:spacing w:before="0" w:beforeAutospacing="0" w:after="0" w:afterAutospacing="0" w:line="360" w:lineRule="auto"/>
        <w:ind w:left="2660" w:leftChars="1209" w:firstLine="0" w:firstLineChars="0"/>
        <w:jc w:val="left"/>
        <w:rPr>
          <w:rStyle w:val="6"/>
          <w:rFonts w:hint="eastAsia" w:asciiTheme="majorEastAsia" w:hAnsiTheme="majorEastAsia" w:eastAsiaTheme="majorEastAsia" w:cstheme="majorEastAsia"/>
          <w:b w:val="0"/>
          <w:color w:val="333333"/>
          <w:sz w:val="44"/>
          <w:szCs w:val="44"/>
        </w:rPr>
      </w:pPr>
      <w:r>
        <w:rPr>
          <w:rStyle w:val="6"/>
          <w:rFonts w:hint="eastAsia" w:asciiTheme="majorEastAsia" w:hAnsiTheme="majorEastAsia" w:eastAsiaTheme="majorEastAsia" w:cstheme="majorEastAsia"/>
          <w:b w:val="0"/>
          <w:color w:val="333333"/>
          <w:sz w:val="44"/>
          <w:szCs w:val="44"/>
        </w:rPr>
        <w:t>建议的答复</w:t>
      </w:r>
    </w:p>
    <w:p>
      <w:pPr>
        <w:spacing w:line="360" w:lineRule="auto"/>
        <w:jc w:val="center"/>
        <w:rPr>
          <w:rFonts w:hint="eastAsia" w:asciiTheme="majorEastAsia" w:hAnsiTheme="majorEastAsia" w:eastAsiaTheme="majorEastAsia" w:cstheme="majorEastAsia"/>
          <w:sz w:val="44"/>
          <w:szCs w:val="44"/>
        </w:rPr>
      </w:pPr>
    </w:p>
    <w:p>
      <w:pPr>
        <w:spacing w:line="360" w:lineRule="auto"/>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程其发代表：</w:t>
      </w:r>
    </w:p>
    <w:p>
      <w:pPr>
        <w:tabs>
          <w:tab w:val="left" w:pos="660"/>
        </w:tabs>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您提出的关于农旅融合发展、实施乡村振兴、助力攻坚脱贫的建议收悉，现答复如下：</w:t>
      </w:r>
    </w:p>
    <w:p>
      <w:pPr>
        <w:tabs>
          <w:tab w:val="left" w:pos="660"/>
        </w:tabs>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十九大报告首次明确提出“实施乡村振兴战略”，即“产业兴旺、生态宜居、乡风文明、治理有效、生活富裕”。建设美丽宜居的村庄，大力发展观光农业、休闲农业、创意农业。随着农业结构调整和转型升级，不断深化产业融合模式，走出一条“以农促旅、以旅兴农”，推进农村一二三产业融合发展，促进农业增效、农民增收、农村增绿，满足人民日益增长的美好生活需要，也是脱贫致富的一条好途径。</w:t>
      </w: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县高度重视乡村旅游产业的发展，充分利用太湖县自然生态、“质朴清新、韵味独特”的乡村之美。以产业发展为支撑，充分发挥政府的主导作用，切实加强组织领导.一、组织参加休闲农业和乡村旅游大会、美丽乡村休闲旅游行等活动。鼓励各地因地制宜培育特色多样的品牌。二是完善公共设施促升级。充分利用政府、社会和金融机构等不同渠道资金，加大对休闲农业和乡村旅游公共服务设施建设的支持力度。鼓励因地制宜兴建各具特色的配套服务设施。三是提升服务水平促升级。组织开展休闲农业和乡村旅游人才培训行动，培育一批积极性高、素质强、善经营的管理经营人才，提升从业人员服务规范化和标准化水平，鼓励采取多种教育培训方式提高从业者素质能力。四是传承农耕文化促升级。结合资源禀赋、人文历史和产业特色，挖掘农村文化，提升休闲农业和乡村旅游的文化软实力和持续竞争力。五是注重规范管理促升级。加大行业标准制修订和宣贯力度，发挥社会组织作用，完善管理服务体系，加强诚信教育、服务考核和安全宣传教育。</w:t>
      </w: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.在县委、政府高度重视下，出台了《中共太湖县委 太湖县人民政府关于创建国家全域旅游示范区建设旅游经济强县的若干意见》太发（2016）13号文件, 明确了旅游富民强县战略、创建国家级全域旅游示范区工作任务和旅游发展扶持政策。（一）保障旅游项目用地。在遵循节约用地的前提下，优先安排重点旅游项目建设用地计划指标。依托农业或林业开发的休闲、观光等乡村旅游项目，可视为农业综合开发项目，项目用地按照相关规定执行。（二）加大旅游金融扶持。金融机构要加大对旅游业的信贷支持力度，对符合条件的旅游企业和旅游项目加大融资授信支持。对符合条件的旅游企业，可按《太湖县过桥资金管理使用暂行办法》（太政办秘〔2015〕74号）、《太湖县支持小微和涉农、涉旅企业信用担保融资暂行办法》（太政办秘〔2015〕75号）文件规定，享受相关优惠政策（三）打造乡村旅游品牌。被评为省级优秀旅游乡（镇）的，给予10万元奖励；被评为省级旅游乡镇的，给予5万元奖励。今年县委、政府两办又下发了办（2018）12号文件，实施全县乡村旅游规划和项目建设；引导和支持农业示范区、新农村建设示范片（村）发展乡村旅游；促进特色旅游乡镇、特色旅游村和农家乐发展；落实旅游产业和休闲农业扶持政策，促进“旅游+农业”发展；指导和扶持农产品生产企业创建旅游商品品牌；加强对乡村旅游规范化管理。</w:t>
      </w: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rPr>
      </w:pP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rPr>
      </w:pP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rPr>
      </w:pP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太湖县农业委员会</w:t>
      </w: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二0一八年五月八日</w:t>
      </w: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lang w:val="en-US" w:eastAsia="zh-CN"/>
        </w:rPr>
      </w:pPr>
    </w:p>
    <w:p>
      <w:pPr>
        <w:widowControl w:val="0"/>
        <w:adjustRightInd/>
        <w:snapToGrid/>
        <w:spacing w:after="0" w:line="580" w:lineRule="exact"/>
        <w:ind w:firstLine="640"/>
        <w:jc w:val="both"/>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联系人：李敬玲       联系电话：13083176399</w:t>
      </w:r>
    </w:p>
    <w:p>
      <w:pPr>
        <w:widowControl w:val="0"/>
        <w:adjustRightInd/>
        <w:snapToGrid/>
        <w:spacing w:after="0" w:line="580" w:lineRule="exact"/>
        <w:jc w:val="both"/>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抄送：县人大代表联络办公室、县政府督查室。</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25169"/>
    <w:rsid w:val="000306AC"/>
    <w:rsid w:val="00072A03"/>
    <w:rsid w:val="000E079E"/>
    <w:rsid w:val="001101DB"/>
    <w:rsid w:val="00112F97"/>
    <w:rsid w:val="00193C4C"/>
    <w:rsid w:val="002138EE"/>
    <w:rsid w:val="002341A2"/>
    <w:rsid w:val="002730C4"/>
    <w:rsid w:val="002E3E97"/>
    <w:rsid w:val="00323B43"/>
    <w:rsid w:val="003940A9"/>
    <w:rsid w:val="003D37D8"/>
    <w:rsid w:val="003E285E"/>
    <w:rsid w:val="00407E74"/>
    <w:rsid w:val="00426133"/>
    <w:rsid w:val="004358AB"/>
    <w:rsid w:val="00496501"/>
    <w:rsid w:val="004B191A"/>
    <w:rsid w:val="00581761"/>
    <w:rsid w:val="00587B8B"/>
    <w:rsid w:val="00623E25"/>
    <w:rsid w:val="00731362"/>
    <w:rsid w:val="00773FB0"/>
    <w:rsid w:val="007B64B2"/>
    <w:rsid w:val="007C48BB"/>
    <w:rsid w:val="008178D5"/>
    <w:rsid w:val="00882D59"/>
    <w:rsid w:val="008A1D50"/>
    <w:rsid w:val="008A7422"/>
    <w:rsid w:val="008B7726"/>
    <w:rsid w:val="008F6F17"/>
    <w:rsid w:val="00901A3C"/>
    <w:rsid w:val="00965510"/>
    <w:rsid w:val="00B03587"/>
    <w:rsid w:val="00B049EF"/>
    <w:rsid w:val="00B46285"/>
    <w:rsid w:val="00B77663"/>
    <w:rsid w:val="00BB7324"/>
    <w:rsid w:val="00BD6CCA"/>
    <w:rsid w:val="00C970B1"/>
    <w:rsid w:val="00CA4053"/>
    <w:rsid w:val="00D23705"/>
    <w:rsid w:val="00D31D50"/>
    <w:rsid w:val="00E05A59"/>
    <w:rsid w:val="00E315EB"/>
    <w:rsid w:val="00E77723"/>
    <w:rsid w:val="00EA1F7B"/>
    <w:rsid w:val="00EC6A94"/>
    <w:rsid w:val="00F32CCD"/>
    <w:rsid w:val="00F5634B"/>
    <w:rsid w:val="00FA5C12"/>
    <w:rsid w:val="255803D5"/>
    <w:rsid w:val="26727852"/>
    <w:rsid w:val="36A07583"/>
    <w:rsid w:val="551D6418"/>
    <w:rsid w:val="657E0692"/>
    <w:rsid w:val="6E25094C"/>
    <w:rsid w:val="776949FE"/>
    <w:rsid w:val="7FCC0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页眉 Char"/>
    <w:basedOn w:val="5"/>
    <w:link w:val="3"/>
    <w:semiHidden/>
    <w:uiPriority w:val="99"/>
    <w:rPr>
      <w:rFonts w:ascii="Tahoma" w:hAnsi="Tahoma"/>
      <w:sz w:val="18"/>
      <w:szCs w:val="18"/>
    </w:rPr>
  </w:style>
  <w:style w:type="character" w:customStyle="1" w:styleId="9">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190</Words>
  <Characters>1087</Characters>
  <Lines>9</Lines>
  <Paragraphs>2</Paragraphs>
  <TotalTime>3</TotalTime>
  <ScaleCrop>false</ScaleCrop>
  <LinksUpToDate>false</LinksUpToDate>
  <CharactersWithSpaces>1275</CharactersWithSpaces>
  <Application>WPS Office_10.1.0.7440_F1E327BC-269C-435d-A152-05C5408002CA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2018-04-24T08:45:00Z</dcterms:created>
  <dc:creator>Administrator</dc:creator>
  <cp:lastModifiedBy>Administrator</cp:lastModifiedBy>
  <cp:lastPrinted>2018-05-01T02:51:00Z</cp:lastPrinted>
  <dcterms:modified xsi:type="dcterms:W3CDTF">2018-07-05T23:53:16Z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2052-10.1.0.7440</vt:lpwstr>
  </property>
</Properties>
</file>