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5"/>
          <w:rFonts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                       办理结果：B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Style w:val="5"/>
          <w:rFonts w:hint="eastAsia" w:ascii="宋体" w:hAnsi="宋体"/>
          <w:color w:val="333333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太农〔2018〕</w:t>
      </w:r>
      <w:r>
        <w:rPr>
          <w:rFonts w:hint="eastAsia"/>
          <w:kern w:val="2"/>
          <w:sz w:val="32"/>
          <w:szCs w:val="32"/>
          <w:lang w:val="en-US" w:eastAsia="zh-CN"/>
        </w:rPr>
        <w:t>177</w:t>
      </w:r>
      <w:bookmarkStart w:id="0" w:name="_GoBack"/>
      <w:bookmarkEnd w:id="0"/>
      <w:r>
        <w:rPr>
          <w:rFonts w:hint="eastAsia"/>
          <w:kern w:val="2"/>
          <w:sz w:val="32"/>
          <w:szCs w:val="32"/>
        </w:rPr>
        <w:t>号               签发人：王辉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left="2639" w:leftChars="209" w:hanging="2200" w:hangingChars="500"/>
        <w:rPr>
          <w:rStyle w:val="5"/>
          <w:rFonts w:hint="eastAsia" w:ascii="宋体" w:hAnsi="宋体"/>
          <w:b w:val="0"/>
          <w:bCs w:val="0"/>
          <w:color w:val="333333"/>
          <w:sz w:val="44"/>
          <w:szCs w:val="44"/>
        </w:rPr>
      </w:pPr>
      <w:r>
        <w:rPr>
          <w:rStyle w:val="5"/>
          <w:rFonts w:hint="eastAsia"/>
          <w:b w:val="0"/>
          <w:bCs w:val="0"/>
          <w:color w:val="333333"/>
          <w:sz w:val="44"/>
          <w:szCs w:val="44"/>
        </w:rPr>
        <w:t>关于对县十六届人大会二次会议第026号建议的答复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bCs w:val="0"/>
          <w:color w:val="333333"/>
          <w:sz w:val="32"/>
          <w:szCs w:val="32"/>
        </w:rPr>
        <w:t>姚叔方代表：</w:t>
      </w:r>
    </w:p>
    <w:p>
      <w:pPr>
        <w:spacing w:line="360" w:lineRule="auto"/>
        <w:ind w:firstLine="640" w:firstLineChars="200"/>
        <w:contextualSpacing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您提出的“由政府牵头主抓特色经济发展的建议”已收悉，现答复如下：</w:t>
      </w:r>
    </w:p>
    <w:p>
      <w:pPr>
        <w:spacing w:line="360" w:lineRule="auto"/>
        <w:ind w:firstLine="640" w:firstLineChars="200"/>
        <w:contextualSpacing/>
        <w:rPr>
          <w:rFonts w:hint="eastAsia" w:ascii="仿宋" w:hAnsi="仿宋" w:eastAsia="仿宋" w:cs="宋体"/>
          <w:color w:val="323232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23232"/>
          <w:kern w:val="0"/>
          <w:sz w:val="32"/>
          <w:szCs w:val="32"/>
        </w:rPr>
        <w:t>太湖是农业大县，围绕“政府引导，产业富民”的指导思想，我县推出了规模化发展“四养六种” 特色种养业，</w:t>
      </w:r>
      <w:r>
        <w:rPr>
          <w:rFonts w:hint="eastAsia" w:ascii="仿宋" w:hAnsi="仿宋" w:eastAsia="仿宋"/>
          <w:color w:val="000000"/>
          <w:sz w:val="32"/>
          <w:szCs w:val="32"/>
        </w:rPr>
        <w:t>取得了明显的效果。截至2017年我县特色经济林发展到79.8万亩，林下经济规模超6万亩，实行土地规模流转27.25万亩，占全县耕地的46.7%。2017年</w:t>
      </w:r>
      <w:r>
        <w:rPr>
          <w:rFonts w:hint="eastAsia" w:ascii="仿宋" w:hAnsi="仿宋" w:eastAsia="仿宋" w:cs="华文楷体"/>
          <w:sz w:val="32"/>
          <w:szCs w:val="32"/>
        </w:rPr>
        <w:t>茶园总面积10.8万亩，茶叶总产2134.4吨，产值4.45亿元；</w:t>
      </w:r>
      <w:r>
        <w:rPr>
          <w:rFonts w:hint="eastAsia" w:ascii="仿宋" w:hAnsi="仿宋" w:eastAsia="仿宋"/>
          <w:color w:val="000000"/>
          <w:sz w:val="32"/>
          <w:szCs w:val="32"/>
        </w:rPr>
        <w:t>油茶种植14万亩，油茶茶籽产量8000吨；</w:t>
      </w:r>
      <w:r>
        <w:rPr>
          <w:rFonts w:hint="eastAsia" w:ascii="仿宋" w:hAnsi="仿宋" w:eastAsia="仿宋" w:cs="华文楷体"/>
          <w:sz w:val="32"/>
          <w:szCs w:val="32"/>
        </w:rPr>
        <w:t>以柑橘、猕猴桃为主的水果面积2.3万亩，总产1.16万吨；蔬菜面积4.3万亩，年产量3.3万吨，年产值1.25亿元。畜牧业发展持续强劲，生态优质，</w:t>
      </w:r>
      <w:r>
        <w:rPr>
          <w:rFonts w:hint="eastAsia" w:ascii="仿宋" w:hAnsi="仿宋" w:eastAsia="仿宋"/>
          <w:color w:val="000000"/>
          <w:sz w:val="32"/>
          <w:szCs w:val="32"/>
        </w:rPr>
        <w:t>全县2017年出栏生猪达58万头，肉鸡3000万羽，肉类总产量8.87万吨，</w:t>
      </w:r>
      <w:r>
        <w:rPr>
          <w:rFonts w:hint="eastAsia" w:ascii="仿宋" w:hAnsi="仿宋" w:eastAsia="仿宋" w:cs="华文楷体"/>
          <w:sz w:val="32"/>
          <w:szCs w:val="32"/>
        </w:rPr>
        <w:t>禽蛋总产量0.77万吨；牛出栏1.82万头；羊出栏3.17万只。</w:t>
      </w:r>
      <w:r>
        <w:rPr>
          <w:rFonts w:hint="eastAsia" w:ascii="仿宋" w:hAnsi="仿宋" w:eastAsia="仿宋"/>
          <w:color w:val="000000"/>
          <w:sz w:val="32"/>
          <w:szCs w:val="32"/>
        </w:rPr>
        <w:t>畜牧业总产值达22亿元，居全省第25位，全市第一。我县畜牧产业发展已成为安庆市畜牧板块经济发展亮点。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加快农业产业化、规模化、集约化发展，最近几年市政府出台了促进现代农业发展的奖补政策，设立专项资金，专款专用。2016年我县共最终审核“安庆市促进现代农业发展”专项奖补资金1769.56万元，其中：市级财政894.43万元，县级配套875.13万元； 2017年申报专项奖补资金2488.9万元，其中：市级财政1570.43万元，县级配套918.47万元，目前正等待市级审核。另外，2017年，我县在完善配套政策的同时，</w:t>
      </w:r>
      <w:r>
        <w:rPr>
          <w:rFonts w:hint="eastAsia" w:ascii="仿宋" w:hAnsi="仿宋" w:eastAsia="仿宋"/>
          <w:color w:val="262626"/>
          <w:sz w:val="32"/>
          <w:szCs w:val="32"/>
        </w:rPr>
        <w:t>针对我县实际，</w:t>
      </w:r>
      <w:r>
        <w:rPr>
          <w:rFonts w:hint="eastAsia" w:ascii="仿宋" w:hAnsi="仿宋" w:eastAsia="仿宋"/>
          <w:color w:val="333333"/>
          <w:sz w:val="32"/>
          <w:szCs w:val="32"/>
        </w:rPr>
        <w:t>县本级财政增设了“</w:t>
      </w:r>
      <w:r>
        <w:rPr>
          <w:rFonts w:hint="eastAsia" w:ascii="仿宋" w:hAnsi="仿宋" w:eastAsia="仿宋"/>
          <w:color w:val="262626"/>
          <w:sz w:val="32"/>
          <w:szCs w:val="32"/>
        </w:rPr>
        <w:t>太湖县2017年促进现代农业发展若干政策”</w:t>
      </w:r>
      <w:r>
        <w:rPr>
          <w:rFonts w:hint="eastAsia" w:ascii="仿宋" w:hAnsi="仿宋" w:eastAsia="仿宋"/>
          <w:color w:val="333333"/>
          <w:sz w:val="32"/>
          <w:szCs w:val="32"/>
        </w:rPr>
        <w:t>专项资金，专款专用。</w:t>
      </w:r>
      <w:r>
        <w:rPr>
          <w:rFonts w:hint="eastAsia" w:ascii="仿宋" w:hAnsi="仿宋" w:eastAsia="仿宋"/>
          <w:color w:val="262626"/>
          <w:sz w:val="32"/>
          <w:szCs w:val="32"/>
        </w:rPr>
        <w:t>2017年共安排县级财政专项奖补资金2000万元（含市级奖补配套）。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近年来，县政府提出了以推进</w:t>
      </w:r>
      <w:r>
        <w:rPr>
          <w:rFonts w:hint="eastAsia" w:ascii="仿宋" w:hAnsi="仿宋" w:eastAsia="仿宋"/>
          <w:color w:val="000000"/>
          <w:sz w:val="32"/>
          <w:szCs w:val="32"/>
        </w:rPr>
        <w:t>生猪、肉鸡、牛、羊、茶叶、油茶、毛竹、苗木花卉、蔬菜、水果等“四养六种”特色产业为重点，稳步发展粮、油、棉等传统产业，兼顾其他种养业的</w:t>
      </w:r>
      <w:r>
        <w:rPr>
          <w:rFonts w:hint="eastAsia" w:ascii="仿宋" w:hAnsi="仿宋" w:eastAsia="仿宋"/>
          <w:color w:val="333333"/>
          <w:sz w:val="32"/>
          <w:szCs w:val="32"/>
        </w:rPr>
        <w:t>齐步发展的农业发展体系，各地立足本地资源因地制宜规划发展；但千变万化的市场，对产业结构的调整提出了更高的要求，你们的建言献策，对产业结构的更趋合理布局，为政府决策提供了可靠的依据。市、县出台的现代农业奖补政策</w:t>
      </w:r>
      <w:r>
        <w:rPr>
          <w:rFonts w:hint="eastAsia" w:ascii="仿宋" w:hAnsi="仿宋" w:eastAsia="仿宋"/>
          <w:sz w:val="32"/>
          <w:szCs w:val="32"/>
        </w:rPr>
        <w:t>，对我县农业供给侧结构性改革、建设农特产品原料基地、做大做强龙头企业、打造农产品知名品牌、促进农业转型升级、助力脱贫攻坚具有非常重要的意义，有力推动了我县现代农业的发展。感谢你们对特色产业增强扶持政策的关心。我们建议市、县财政增加现代农业奖补的范围和力度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太湖县农业委员会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二0一八年五月七日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联系人：陈珠宝        联系电话：13966610816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left="960" w:hanging="960" w:hangingChars="3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抄送：朱祥英代表、黄绍兵代表、李章生代表、潘先奇代表、朱立新代表、陈亚平代表、王向东代表、都旭超代表、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left="960" w:hanging="960" w:hangingChars="3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     汪志平代表，县人大代表联络办公室、县政府督查室。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2987"/>
    <w:rsid w:val="000117E6"/>
    <w:rsid w:val="00026BA0"/>
    <w:rsid w:val="000339F4"/>
    <w:rsid w:val="00043BAC"/>
    <w:rsid w:val="00063082"/>
    <w:rsid w:val="00067E2F"/>
    <w:rsid w:val="000A1F78"/>
    <w:rsid w:val="000C014B"/>
    <w:rsid w:val="00103249"/>
    <w:rsid w:val="00103F34"/>
    <w:rsid w:val="00112BFE"/>
    <w:rsid w:val="00134ABD"/>
    <w:rsid w:val="001455AD"/>
    <w:rsid w:val="00173E70"/>
    <w:rsid w:val="00174430"/>
    <w:rsid w:val="00192190"/>
    <w:rsid w:val="00192C1F"/>
    <w:rsid w:val="001D0EE7"/>
    <w:rsid w:val="0020371B"/>
    <w:rsid w:val="00205F3B"/>
    <w:rsid w:val="00207463"/>
    <w:rsid w:val="00214F52"/>
    <w:rsid w:val="00232649"/>
    <w:rsid w:val="00234FBB"/>
    <w:rsid w:val="002512A4"/>
    <w:rsid w:val="00251A81"/>
    <w:rsid w:val="00261311"/>
    <w:rsid w:val="00281276"/>
    <w:rsid w:val="002942D7"/>
    <w:rsid w:val="002A04A3"/>
    <w:rsid w:val="002A6215"/>
    <w:rsid w:val="002B484F"/>
    <w:rsid w:val="002C55C7"/>
    <w:rsid w:val="002C616B"/>
    <w:rsid w:val="0030400C"/>
    <w:rsid w:val="00324880"/>
    <w:rsid w:val="00333650"/>
    <w:rsid w:val="00335040"/>
    <w:rsid w:val="00336592"/>
    <w:rsid w:val="003A017E"/>
    <w:rsid w:val="003A4A78"/>
    <w:rsid w:val="003D68A2"/>
    <w:rsid w:val="003D6B3E"/>
    <w:rsid w:val="003E3EFA"/>
    <w:rsid w:val="003E644D"/>
    <w:rsid w:val="00414EAD"/>
    <w:rsid w:val="00427522"/>
    <w:rsid w:val="00427792"/>
    <w:rsid w:val="00444399"/>
    <w:rsid w:val="00462987"/>
    <w:rsid w:val="00465F54"/>
    <w:rsid w:val="00485009"/>
    <w:rsid w:val="0048618C"/>
    <w:rsid w:val="00494B72"/>
    <w:rsid w:val="0049735E"/>
    <w:rsid w:val="00504CAE"/>
    <w:rsid w:val="00504CB5"/>
    <w:rsid w:val="00505CBB"/>
    <w:rsid w:val="00521E29"/>
    <w:rsid w:val="0053382A"/>
    <w:rsid w:val="00543C97"/>
    <w:rsid w:val="005460FD"/>
    <w:rsid w:val="00555F2E"/>
    <w:rsid w:val="005629DA"/>
    <w:rsid w:val="005A5A7D"/>
    <w:rsid w:val="005B7A9E"/>
    <w:rsid w:val="005C6ECA"/>
    <w:rsid w:val="005D1454"/>
    <w:rsid w:val="005D3D2F"/>
    <w:rsid w:val="005E0074"/>
    <w:rsid w:val="005F03B6"/>
    <w:rsid w:val="005F4649"/>
    <w:rsid w:val="006017D1"/>
    <w:rsid w:val="00623AC5"/>
    <w:rsid w:val="0063241E"/>
    <w:rsid w:val="0067798B"/>
    <w:rsid w:val="00692BE3"/>
    <w:rsid w:val="0069490C"/>
    <w:rsid w:val="006C189A"/>
    <w:rsid w:val="006D3F5F"/>
    <w:rsid w:val="006D582C"/>
    <w:rsid w:val="006D625C"/>
    <w:rsid w:val="006F471B"/>
    <w:rsid w:val="007066C0"/>
    <w:rsid w:val="007245FB"/>
    <w:rsid w:val="007911AD"/>
    <w:rsid w:val="00792599"/>
    <w:rsid w:val="007B15FD"/>
    <w:rsid w:val="007B76FB"/>
    <w:rsid w:val="007C2E3E"/>
    <w:rsid w:val="007D0D3D"/>
    <w:rsid w:val="007D6ADE"/>
    <w:rsid w:val="00806544"/>
    <w:rsid w:val="008155CD"/>
    <w:rsid w:val="00841633"/>
    <w:rsid w:val="008618C6"/>
    <w:rsid w:val="008730A5"/>
    <w:rsid w:val="00894360"/>
    <w:rsid w:val="008961EF"/>
    <w:rsid w:val="008B753A"/>
    <w:rsid w:val="008C491E"/>
    <w:rsid w:val="008D28D3"/>
    <w:rsid w:val="008D523F"/>
    <w:rsid w:val="008F040F"/>
    <w:rsid w:val="0094162B"/>
    <w:rsid w:val="00954043"/>
    <w:rsid w:val="00961EA2"/>
    <w:rsid w:val="009624FA"/>
    <w:rsid w:val="009640CE"/>
    <w:rsid w:val="00967303"/>
    <w:rsid w:val="00996AA2"/>
    <w:rsid w:val="009A178D"/>
    <w:rsid w:val="009B1734"/>
    <w:rsid w:val="009B33BD"/>
    <w:rsid w:val="009B6291"/>
    <w:rsid w:val="009D1FD8"/>
    <w:rsid w:val="009E078B"/>
    <w:rsid w:val="009F5F44"/>
    <w:rsid w:val="00A237E5"/>
    <w:rsid w:val="00A364C0"/>
    <w:rsid w:val="00A8063D"/>
    <w:rsid w:val="00AB1517"/>
    <w:rsid w:val="00AD03E1"/>
    <w:rsid w:val="00AE291D"/>
    <w:rsid w:val="00AE64D9"/>
    <w:rsid w:val="00B11D61"/>
    <w:rsid w:val="00B414B5"/>
    <w:rsid w:val="00B41FE0"/>
    <w:rsid w:val="00B8256E"/>
    <w:rsid w:val="00B826AD"/>
    <w:rsid w:val="00B8716C"/>
    <w:rsid w:val="00B932F8"/>
    <w:rsid w:val="00B960AB"/>
    <w:rsid w:val="00BA0D21"/>
    <w:rsid w:val="00BD75A4"/>
    <w:rsid w:val="00C13DCE"/>
    <w:rsid w:val="00C4660B"/>
    <w:rsid w:val="00C51C1D"/>
    <w:rsid w:val="00C62574"/>
    <w:rsid w:val="00C87F8F"/>
    <w:rsid w:val="00CA2BCB"/>
    <w:rsid w:val="00CA5883"/>
    <w:rsid w:val="00CB7910"/>
    <w:rsid w:val="00CC7959"/>
    <w:rsid w:val="00CE12B9"/>
    <w:rsid w:val="00CF56B0"/>
    <w:rsid w:val="00D03CC8"/>
    <w:rsid w:val="00D12242"/>
    <w:rsid w:val="00D15CE4"/>
    <w:rsid w:val="00D61F4E"/>
    <w:rsid w:val="00D83944"/>
    <w:rsid w:val="00D843F7"/>
    <w:rsid w:val="00DA244E"/>
    <w:rsid w:val="00E25865"/>
    <w:rsid w:val="00E26914"/>
    <w:rsid w:val="00E33E88"/>
    <w:rsid w:val="00ED6FAF"/>
    <w:rsid w:val="00EE153C"/>
    <w:rsid w:val="00EF3AD6"/>
    <w:rsid w:val="00EF50E4"/>
    <w:rsid w:val="00F0478A"/>
    <w:rsid w:val="00F35516"/>
    <w:rsid w:val="00F3669D"/>
    <w:rsid w:val="00F36EF6"/>
    <w:rsid w:val="00F474C3"/>
    <w:rsid w:val="00F567D8"/>
    <w:rsid w:val="00F82E1F"/>
    <w:rsid w:val="00F9273B"/>
    <w:rsid w:val="00FA1FA1"/>
    <w:rsid w:val="00FB2EC9"/>
    <w:rsid w:val="00FD2CF4"/>
    <w:rsid w:val="00FE3016"/>
    <w:rsid w:val="4A18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">
    <w:name w:val="15"/>
    <w:basedOn w:val="3"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188</Words>
  <Characters>1076</Characters>
  <Lines>8</Lines>
  <Paragraphs>2</Paragraphs>
  <TotalTime>1</TotalTime>
  <ScaleCrop>false</ScaleCrop>
  <LinksUpToDate>false</LinksUpToDate>
  <CharactersWithSpaces>1262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2018-07-03T06:35:00Z</dcterms:created>
  <dc:creator>太湖县农委</dc:creator>
  <cp:lastModifiedBy>Administrator</cp:lastModifiedBy>
  <dcterms:modified xsi:type="dcterms:W3CDTF">2018-07-05T23:52:45Z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